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466090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34" w:lineRule="exact"/>
        <w:rPr>
          <w:sz w:val="24"/>
          <w:szCs w:val="24"/>
          <w:color w:val="auto"/>
        </w:rPr>
      </w:pPr>
    </w:p>
    <w:p>
      <w:pPr>
        <w:ind w:left="360" w:hanging="341"/>
        <w:spacing w:after="0"/>
        <w:tabs>
          <w:tab w:leader="none" w:pos="360" w:val="left"/>
        </w:tabs>
        <w:numPr>
          <w:ilvl w:val="0"/>
          <w:numId w:val="1"/>
        </w:numPr>
        <w:rPr>
          <w:rFonts w:ascii="Wingdings" w:cs="Wingdings" w:eastAsia="Wingdings" w:hAnsi="Wingdings"/>
          <w:sz w:val="11"/>
          <w:szCs w:val="11"/>
          <w:b w:val="1"/>
          <w:bCs w:val="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20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2026</w:t>
      </w:r>
    </w:p>
    <w:p>
      <w:pPr>
        <w:spacing w:after="0" w:line="43"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54" w:lineRule="exact"/>
        <w:rPr>
          <w:sz w:val="24"/>
          <w:szCs w:val="24"/>
          <w:color w:val="auto"/>
        </w:rPr>
      </w:pPr>
    </w:p>
    <w:p>
      <w:pPr>
        <w:ind w:left="340" w:hanging="321"/>
        <w:spacing w:after="0"/>
        <w:tabs>
          <w:tab w:leader="none" w:pos="340" w:val="left"/>
        </w:tabs>
        <w:numPr>
          <w:ilvl w:val="0"/>
          <w:numId w:val="2"/>
        </w:numPr>
        <w:rPr>
          <w:rFonts w:ascii="Wingdings" w:cs="Wingdings" w:eastAsia="Wingdings" w:hAnsi="Wingdings"/>
          <w:sz w:val="11"/>
          <w:szCs w:val="11"/>
          <w:b w:val="1"/>
          <w:bCs w:val="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3460" w:type="dxa"/>
            <w:vAlign w:val="bottom"/>
          </w:tcPr>
          <w:p>
            <w:pPr>
              <w:spacing w:after="0"/>
              <w:rPr>
                <w:sz w:val="11"/>
                <w:szCs w:val="11"/>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 to _______</w:t>
            </w:r>
          </w:p>
        </w:tc>
        <w:tc>
          <w:tcPr>
            <w:tcW w:w="3480" w:type="dxa"/>
            <w:vAlign w:val="bottom"/>
          </w:tcPr>
          <w:p>
            <w:pPr>
              <w:spacing w:after="0"/>
              <w:rPr>
                <w:sz w:val="11"/>
                <w:szCs w:val="11"/>
                <w:color w:val="auto"/>
              </w:rPr>
            </w:pPr>
          </w:p>
        </w:tc>
      </w:tr>
      <w:tr>
        <w:trPr>
          <w:trHeight w:val="131"/>
        </w:trPr>
        <w:tc>
          <w:tcPr>
            <w:tcW w:w="3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3"/>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rPr>
              <w:t>Commission File Number: 001-41537</w:t>
            </w:r>
          </w:p>
        </w:tc>
        <w:tc>
          <w:tcPr>
            <w:tcW w:w="3480" w:type="dxa"/>
            <w:vAlign w:val="bottom"/>
          </w:tcPr>
          <w:p>
            <w:pPr>
              <w:spacing w:after="0"/>
              <w:rPr>
                <w:sz w:val="11"/>
                <w:szCs w:val="11"/>
                <w:color w:val="auto"/>
              </w:rPr>
            </w:pPr>
          </w:p>
        </w:tc>
      </w:tr>
      <w:tr>
        <w:trPr>
          <w:trHeight w:val="296"/>
        </w:trPr>
        <w:tc>
          <w:tcPr>
            <w:tcW w:w="3460" w:type="dxa"/>
            <w:vAlign w:val="bottom"/>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23"/>
                <w:szCs w:val="23"/>
                <w:color w:val="auto"/>
                <w:w w:val="98"/>
              </w:rPr>
              <w:t>___________________________________</w:t>
            </w:r>
          </w:p>
        </w:tc>
        <w:tc>
          <w:tcPr>
            <w:tcW w:w="3480" w:type="dxa"/>
            <w:vAlign w:val="bottom"/>
          </w:tcPr>
          <w:p>
            <w:pPr>
              <w:spacing w:after="0"/>
              <w:rPr>
                <w:sz w:val="24"/>
                <w:szCs w:val="24"/>
                <w:color w:val="auto"/>
              </w:rPr>
            </w:pPr>
          </w:p>
        </w:tc>
      </w:tr>
      <w:tr>
        <w:trPr>
          <w:trHeight w:val="295"/>
        </w:trPr>
        <w:tc>
          <w:tcPr>
            <w:tcW w:w="3460" w:type="dxa"/>
            <w:vAlign w:val="bottom"/>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23"/>
                <w:szCs w:val="23"/>
                <w:b w:val="1"/>
                <w:bCs w:val="1"/>
                <w:color w:val="auto"/>
                <w:w w:val="98"/>
              </w:rPr>
              <w:t>GRANITE RIDGE RESOURCES, INC.</w:t>
            </w:r>
          </w:p>
        </w:tc>
        <w:tc>
          <w:tcPr>
            <w:tcW w:w="3480" w:type="dxa"/>
            <w:vAlign w:val="bottom"/>
          </w:tcPr>
          <w:p>
            <w:pPr>
              <w:spacing w:after="0"/>
              <w:rPr>
                <w:sz w:val="24"/>
                <w:szCs w:val="24"/>
                <w:color w:val="auto"/>
              </w:rPr>
            </w:pPr>
          </w:p>
        </w:tc>
      </w:tr>
      <w:tr>
        <w:trPr>
          <w:trHeight w:val="131"/>
        </w:trPr>
        <w:tc>
          <w:tcPr>
            <w:tcW w:w="3460" w:type="dxa"/>
            <w:vAlign w:val="bottom"/>
          </w:tcPr>
          <w:p>
            <w:pPr>
              <w:spacing w:after="0"/>
              <w:rPr>
                <w:sz w:val="11"/>
                <w:szCs w:val="11"/>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Exact Name of Registrant as Specified in Its Charter</w:t>
            </w:r>
            <w:r>
              <w:rPr>
                <w:rFonts w:ascii="Times New Roman" w:cs="Times New Roman" w:eastAsia="Times New Roman" w:hAnsi="Times New Roman"/>
                <w:sz w:val="11"/>
                <w:szCs w:val="11"/>
                <w:color w:val="auto"/>
              </w:rPr>
              <w:t xml:space="preserve"> )</w:t>
            </w:r>
          </w:p>
        </w:tc>
        <w:tc>
          <w:tcPr>
            <w:tcW w:w="3480" w:type="dxa"/>
            <w:vAlign w:val="bottom"/>
          </w:tcPr>
          <w:p>
            <w:pPr>
              <w:spacing w:after="0"/>
              <w:rPr>
                <w:sz w:val="11"/>
                <w:szCs w:val="11"/>
                <w:color w:val="auto"/>
              </w:rPr>
            </w:pPr>
          </w:p>
        </w:tc>
      </w:tr>
      <w:tr>
        <w:trPr>
          <w:trHeight w:val="296"/>
        </w:trPr>
        <w:tc>
          <w:tcPr>
            <w:tcW w:w="3460" w:type="dxa"/>
            <w:vAlign w:val="bottom"/>
          </w:tcPr>
          <w:p>
            <w:pPr>
              <w:spacing w:after="0"/>
              <w:rPr>
                <w:sz w:val="24"/>
                <w:szCs w:val="24"/>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23"/>
                <w:szCs w:val="23"/>
                <w:color w:val="auto"/>
                <w:w w:val="98"/>
              </w:rPr>
              <w:t>___________________________________</w:t>
            </w:r>
          </w:p>
        </w:tc>
        <w:tc>
          <w:tcPr>
            <w:tcW w:w="3480" w:type="dxa"/>
            <w:vAlign w:val="bottom"/>
          </w:tcPr>
          <w:p>
            <w:pPr>
              <w:spacing w:after="0"/>
              <w:rPr>
                <w:sz w:val="24"/>
                <w:szCs w:val="24"/>
                <w:color w:val="auto"/>
              </w:rPr>
            </w:pPr>
          </w:p>
        </w:tc>
      </w:tr>
      <w:tr>
        <w:trPr>
          <w:trHeight w:val="168"/>
        </w:trPr>
        <w:tc>
          <w:tcPr>
            <w:tcW w:w="34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80" w:type="dxa"/>
            <w:vAlign w:val="bottom"/>
          </w:tcPr>
          <w:p>
            <w:pPr>
              <w:jc w:val="right"/>
              <w:ind w:right="1543"/>
              <w:spacing w:after="0"/>
              <w:rPr>
                <w:sz w:val="20"/>
                <w:szCs w:val="20"/>
                <w:color w:val="auto"/>
              </w:rPr>
            </w:pPr>
            <w:r>
              <w:rPr>
                <w:rFonts w:ascii="Times New Roman" w:cs="Times New Roman" w:eastAsia="Times New Roman" w:hAnsi="Times New Roman"/>
                <w:sz w:val="11"/>
                <w:szCs w:val="11"/>
                <w:b w:val="1"/>
                <w:bCs w:val="1"/>
                <w:color w:val="auto"/>
              </w:rPr>
              <w:t>88-2227812</w:t>
            </w:r>
          </w:p>
        </w:tc>
      </w:tr>
      <w:tr>
        <w:trPr>
          <w:trHeight w:val="161"/>
        </w:trPr>
        <w:tc>
          <w:tcPr>
            <w:tcW w:w="346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8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3460" w:type="dxa"/>
            <w:vAlign w:val="bottom"/>
          </w:tcPr>
          <w:p>
            <w:pPr>
              <w:jc w:val="center"/>
              <w:ind w:left="24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80" w:type="dxa"/>
            <w:vAlign w:val="bottom"/>
          </w:tcPr>
          <w:p>
            <w:pPr>
              <w:jc w:val="center"/>
              <w:ind w:right="223"/>
              <w:spacing w:after="0"/>
              <w:rPr>
                <w:sz w:val="20"/>
                <w:szCs w:val="20"/>
                <w:color w:val="auto"/>
              </w:rPr>
            </w:pPr>
            <w:r>
              <w:rPr>
                <w:rFonts w:ascii="Times New Roman" w:cs="Times New Roman" w:eastAsia="Times New Roman" w:hAnsi="Times New Roman"/>
                <w:sz w:val="11"/>
                <w:szCs w:val="11"/>
                <w:color w:val="auto"/>
              </w:rPr>
              <w:t>Identification Number)</w:t>
            </w:r>
          </w:p>
        </w:tc>
      </w:tr>
      <w:tr>
        <w:trPr>
          <w:trHeight w:val="541"/>
        </w:trPr>
        <w:tc>
          <w:tcPr>
            <w:tcW w:w="34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5217 McKinney Ave, Suite 400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49"/>
        </w:trPr>
        <w:tc>
          <w:tcPr>
            <w:tcW w:w="346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w w:val="99"/>
              </w:rPr>
              <w:t>Dallas, Texas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80" w:type="dxa"/>
            <w:vAlign w:val="bottom"/>
          </w:tcPr>
          <w:p>
            <w:pPr>
              <w:jc w:val="right"/>
              <w:ind w:right="1683"/>
              <w:spacing w:after="0"/>
              <w:rPr>
                <w:sz w:val="20"/>
                <w:szCs w:val="20"/>
                <w:color w:val="auto"/>
              </w:rPr>
            </w:pPr>
            <w:r>
              <w:rPr>
                <w:rFonts w:ascii="Times New Roman" w:cs="Times New Roman" w:eastAsia="Times New Roman" w:hAnsi="Times New Roman"/>
                <w:sz w:val="11"/>
                <w:szCs w:val="11"/>
                <w:b w:val="1"/>
                <w:bCs w:val="1"/>
                <w:color w:val="auto"/>
              </w:rPr>
              <w:t>75205</w:t>
            </w:r>
          </w:p>
        </w:tc>
      </w:tr>
      <w:tr>
        <w:trPr>
          <w:trHeight w:val="170"/>
        </w:trPr>
        <w:tc>
          <w:tcPr>
            <w:tcW w:w="346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8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(Zip Code)</w:t>
            </w:r>
          </w:p>
        </w:tc>
      </w:tr>
      <w:tr>
        <w:trPr>
          <w:trHeight w:val="308"/>
        </w:trPr>
        <w:tc>
          <w:tcPr>
            <w:tcW w:w="3460" w:type="dxa"/>
            <w:vAlign w:val="bottom"/>
          </w:tcPr>
          <w:p>
            <w:pPr>
              <w:spacing w:after="0"/>
              <w:rPr>
                <w:sz w:val="24"/>
                <w:szCs w:val="24"/>
                <w:color w:val="auto"/>
              </w:rPr>
            </w:pPr>
          </w:p>
        </w:tc>
        <w:tc>
          <w:tcPr>
            <w:tcW w:w="3260" w:type="dxa"/>
            <w:vAlign w:val="bottom"/>
            <w:gridSpan w:val="3"/>
          </w:tcPr>
          <w:p>
            <w:pPr>
              <w:jc w:val="center"/>
              <w:ind w:left="1042"/>
              <w:spacing w:after="0"/>
              <w:rPr>
                <w:sz w:val="20"/>
                <w:szCs w:val="20"/>
                <w:color w:val="auto"/>
              </w:rPr>
            </w:pPr>
            <w:r>
              <w:rPr>
                <w:rFonts w:ascii="Times New Roman" w:cs="Times New Roman" w:eastAsia="Times New Roman" w:hAnsi="Times New Roman"/>
                <w:sz w:val="11"/>
                <w:szCs w:val="11"/>
                <w:b w:val="1"/>
                <w:bCs w:val="1"/>
                <w:color w:val="auto"/>
              </w:rPr>
              <w:t>(214) 396-2850</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3480" w:type="dxa"/>
            <w:vAlign w:val="bottom"/>
          </w:tcPr>
          <w:p>
            <w:pPr>
              <w:spacing w:after="0"/>
              <w:rPr>
                <w:sz w:val="18"/>
                <w:szCs w:val="18"/>
                <w:color w:val="auto"/>
              </w:rPr>
            </w:pPr>
          </w:p>
        </w:tc>
      </w:tr>
      <w:tr>
        <w:trPr>
          <w:trHeight w:val="147"/>
        </w:trPr>
        <w:tc>
          <w:tcPr>
            <w:tcW w:w="3460" w:type="dxa"/>
            <w:vAlign w:val="bottom"/>
          </w:tcPr>
          <w:p>
            <w:pPr>
              <w:spacing w:after="0"/>
              <w:rPr>
                <w:sz w:val="12"/>
                <w:szCs w:val="12"/>
                <w:color w:val="auto"/>
              </w:rPr>
            </w:pPr>
          </w:p>
        </w:tc>
        <w:tc>
          <w:tcPr>
            <w:tcW w:w="434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(Former name, former address and former fiscal year, if changed since last report)</w:t>
            </w:r>
          </w:p>
        </w:tc>
        <w:tc>
          <w:tcPr>
            <w:tcW w:w="3480" w:type="dxa"/>
            <w:vAlign w:val="bottom"/>
          </w:tcPr>
          <w:p>
            <w:pPr>
              <w:spacing w:after="0"/>
              <w:rPr>
                <w:sz w:val="12"/>
                <w:szCs w:val="12"/>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0"/>
        </w:trPr>
        <w:tc>
          <w:tcPr>
            <w:tcW w:w="3460" w:type="dxa"/>
            <w:vAlign w:val="bottom"/>
            <w:tcBorders>
              <w:bottom w:val="single" w:sz="8" w:color="auto"/>
            </w:tcBorders>
          </w:tcPr>
          <w:p>
            <w:pPr>
              <w:jc w:val="center"/>
              <w:ind w:left="96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96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1"/>
        </w:trPr>
        <w:tc>
          <w:tcPr>
            <w:tcW w:w="3460" w:type="dxa"/>
            <w:vAlign w:val="bottom"/>
          </w:tcPr>
          <w:p>
            <w:pPr>
              <w:jc w:val="center"/>
              <w:ind w:left="963"/>
              <w:spacing w:after="0"/>
              <w:rPr>
                <w:sz w:val="20"/>
                <w:szCs w:val="20"/>
                <w:color w:val="auto"/>
              </w:rPr>
            </w:pPr>
            <w:r>
              <w:rPr>
                <w:rFonts w:ascii="Times New Roman" w:cs="Times New Roman" w:eastAsia="Times New Roman" w:hAnsi="Times New Roman"/>
                <w:sz w:val="11"/>
                <w:szCs w:val="11"/>
                <w:color w:val="auto"/>
              </w:rPr>
              <w:t>Common Stock, par value $0.0001 per share</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color w:val="auto"/>
              </w:rPr>
              <w:t>GRNT</w:t>
            </w:r>
          </w:p>
        </w:tc>
        <w:tc>
          <w:tcPr>
            <w:tcW w:w="348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46" w:lineRule="exact"/>
        <w:rPr>
          <w:sz w:val="24"/>
          <w:szCs w:val="24"/>
          <w:color w:val="auto"/>
        </w:rPr>
      </w:pPr>
    </w:p>
    <w:p>
      <w:pPr>
        <w:jc w:val="both"/>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23" w:lineRule="exact"/>
        <w:rPr>
          <w:sz w:val="24"/>
          <w:szCs w:val="24"/>
          <w:color w:val="auto"/>
        </w:rPr>
      </w:pPr>
    </w:p>
    <w:p>
      <w:pPr>
        <w:jc w:val="both"/>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34" w:lineRule="exact"/>
        <w:rPr>
          <w:sz w:val="24"/>
          <w:szCs w:val="24"/>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10" w:right="319" w:bottom="1440" w:gutter="0" w:footer="0" w:header="0"/>
        </w:sectPr>
      </w:pPr>
    </w:p>
    <w:p>
      <w:pPr>
        <w:spacing w:after="0" w:line="16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37"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153" w:lineRule="exact"/>
        <w:rPr>
          <w:sz w:val="24"/>
          <w:szCs w:val="24"/>
          <w:color w:val="auto"/>
        </w:rPr>
      </w:pPr>
    </w:p>
    <w:p>
      <w:pPr>
        <w:sectPr>
          <w:pgSz w:w="11900" w:h="16838" w:orient="portrait"/>
          <w:cols w:equalWidth="0" w:num="8">
            <w:col w:w="1540" w:space="720"/>
            <w:col w:w="440" w:space="720"/>
            <w:col w:w="760" w:space="660"/>
            <w:col w:w="440" w:space="720"/>
            <w:col w:w="1000" w:space="720"/>
            <w:col w:w="380" w:space="720"/>
            <w:col w:w="1420" w:space="720"/>
            <w:col w:w="320"/>
          </w:cols>
          <w:pgMar w:left="300" w:top="210" w:right="319" w:bottom="1440" w:gutter="0" w:footer="0" w:header="0"/>
          <w:type w:val="continuous"/>
        </w:sectPr>
      </w:pPr>
    </w:p>
    <w:p>
      <w:pPr>
        <w:spacing w:after="0" w:line="28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34" w:lineRule="exact"/>
        <w:rPr>
          <w:sz w:val="24"/>
          <w:szCs w:val="24"/>
          <w:color w:val="auto"/>
        </w:rPr>
      </w:pPr>
    </w:p>
    <w:p>
      <w:pPr>
        <w:ind w:right="5500"/>
        <w:spacing w:after="0" w:line="461"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As of May 4, 2026, there were 131,895,990 shares of our common stock, par value $0.0001,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579120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86360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spacing w:after="0" w:line="12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Forward-looking statements involve inherent risks and uncertainties, and important factors (many of which are beyond our company’s control) could cause actual results to differ materially from those set forth in the forward-looking statements, including the following:</w:t>
      </w:r>
    </w:p>
    <w:p>
      <w:pPr>
        <w:spacing w:after="0" w:line="12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current or future commodity prices and interest rates;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disruptions;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constraints and related factors affecting our properties;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additional development opportunities and potential or pending acquisition transactions, as well as the effects of such acquisitions on our company’s cash position and levels of indebtedness;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reserves estimates or the value thereof;</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including, but not limited to, the pace of drilling and completions activity on our properties;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in which Granite Ridge competes;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risk and changes in applicable laws, legislation, or regulations, including those relating to environmental matters;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cyber-related risks;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reserve estimates depend on many assumptions that may turn out to be inaccurate and that any material inaccuracies in reserve estimates or underlying assumptions will materially affect the quantities and present value of our reserves;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liquidity and trading of Granite Ridge’s securities;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war, terrorism or uncertainty regarding the effects and duration of global hostilities, including the Israel-Hamas conflict, the Russia-Ukraine war, the conflict in Iran, continued instability in the Middle East, and any associated armed conflicts or related sanctions which may disrupt commodity prices and create instability in the financial markets;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and global, regulatory, technical, and economic factors beyond Granite Ridge’s control, including the potential adverse effects of world health events affecting capital markets, general economic conditions, global supply chains and Granite Ridge’s business and operations;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regulatory and investor emphasis on, and attention to, environmental, social, and governance matters;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effective internal control over financial reporting; and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our Annual Report on Form 10-K for the year ended December 31, 2025 (the "2025 Form 10-K") under “Risk Factors,” as updated by any subsequent Quarterly Reports on Form 10-Q, including this Report, which we file with the United States Securities and Exchange Commission (“SEC”).</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spacing w:after="0" w:line="1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operations and cash flows. If one or more of these risks or uncertainties materialize, or if the underlying assumptions prove incorrect, our actual results may vary materially from those expected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70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818"/>
        </w:trPr>
        <w:tc>
          <w:tcPr>
            <w:tcW w:w="1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20" w:type="dxa"/>
            <w:vAlign w:val="bottom"/>
          </w:tcPr>
          <w:p>
            <w:pPr>
              <w:spacing w:after="0"/>
              <w:rPr>
                <w:sz w:val="12"/>
                <w:szCs w:val="12"/>
                <w:color w:val="auto"/>
              </w:rPr>
            </w:pPr>
          </w:p>
        </w:tc>
        <w:tc>
          <w:tcPr>
            <w:tcW w:w="9980" w:type="dxa"/>
            <w:vAlign w:val="bottom"/>
            <w:gridSpan w:val="24"/>
          </w:tcPr>
          <w:p>
            <w:pPr>
              <w:spacing w:after="0" w:line="140"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12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2</w:t>
            </w:r>
          </w:p>
        </w:tc>
      </w:tr>
      <w:tr>
        <w:trPr>
          <w:trHeight w:val="160"/>
        </w:trPr>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8"/>
              </w:rPr>
              <w:t>PART I – FINANCIAL INFORMATION</w:t>
            </w:r>
          </w:p>
        </w:tc>
        <w:tc>
          <w:tcPr>
            <w:tcW w:w="2200" w:type="dxa"/>
            <w:vAlign w:val="bottom"/>
            <w:tcBorders>
              <w:top w:val="single" w:sz="8" w:color="0000FF"/>
            </w:tcBorders>
            <w:gridSpan w:val="8"/>
          </w:tcPr>
          <w:p>
            <w:pPr>
              <w:spacing w:after="0"/>
              <w:rPr>
                <w:sz w:val="13"/>
                <w:szCs w:val="13"/>
                <w:color w:val="auto"/>
              </w:rPr>
            </w:pPr>
          </w:p>
        </w:tc>
        <w:tc>
          <w:tcPr>
            <w:tcW w:w="5440" w:type="dxa"/>
            <w:vAlign w:val="bottom"/>
            <w:gridSpan w:val="8"/>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1280" w:type="dxa"/>
            <w:vAlign w:val="bottom"/>
            <w:gridSpan w:val="4"/>
          </w:tcPr>
          <w:p>
            <w:pPr>
              <w:spacing w:after="0"/>
              <w:rPr>
                <w:sz w:val="13"/>
                <w:szCs w:val="13"/>
                <w:color w:val="auto"/>
              </w:rPr>
            </w:pPr>
          </w:p>
        </w:tc>
        <w:tc>
          <w:tcPr>
            <w:tcW w:w="8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2"/>
        </w:trPr>
        <w:tc>
          <w:tcPr>
            <w:tcW w:w="20" w:type="dxa"/>
            <w:vAlign w:val="bottom"/>
          </w:tcPr>
          <w:p>
            <w:pPr>
              <w:spacing w:after="0"/>
              <w:rPr>
                <w:sz w:val="16"/>
                <w:szCs w:val="16"/>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2.</w:t>
            </w:r>
          </w:p>
        </w:tc>
        <w:tc>
          <w:tcPr>
            <w:tcW w:w="5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bottom w:val="single" w:sz="8" w:color="0000FF"/>
            </w:tcBorders>
          </w:tcPr>
          <w:p>
            <w:pPr>
              <w:spacing w:after="0" w:line="142" w:lineRule="exact"/>
              <w:rPr>
                <w:sz w:val="20"/>
                <w:szCs w:val="20"/>
                <w:color w:val="auto"/>
              </w:rPr>
            </w:pPr>
            <w:r>
              <w:rPr>
                <w:rFonts w:ascii="Times New Roman" w:cs="Times New Roman" w:eastAsia="Times New Roman" w:hAnsi="Times New Roman"/>
                <w:sz w:val="14"/>
                <w:szCs w:val="14"/>
                <w:color w:val="0000FF"/>
                <w:w w:val="95"/>
              </w:rPr>
              <w:t>Item 3.</w:t>
            </w:r>
          </w:p>
        </w:tc>
        <w:tc>
          <w:tcPr>
            <w:tcW w:w="1280" w:type="dxa"/>
            <w:vAlign w:val="bottom"/>
            <w:gridSpan w:val="4"/>
          </w:tcPr>
          <w:p>
            <w:pPr>
              <w:spacing w:after="0"/>
              <w:rPr>
                <w:sz w:val="12"/>
                <w:szCs w:val="12"/>
                <w:color w:val="auto"/>
              </w:rPr>
            </w:pPr>
          </w:p>
        </w:tc>
        <w:tc>
          <w:tcPr>
            <w:tcW w:w="3400" w:type="dxa"/>
            <w:vAlign w:val="bottom"/>
            <w:tcBorders>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900" w:type="dxa"/>
            <w:vAlign w:val="bottom"/>
            <w:gridSpan w:val="4"/>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1280" w:type="dxa"/>
            <w:vAlign w:val="bottom"/>
            <w:gridSpan w:val="4"/>
          </w:tcPr>
          <w:p>
            <w:pPr>
              <w:spacing w:after="0"/>
              <w:rPr>
                <w:sz w:val="13"/>
                <w:szCs w:val="13"/>
                <w:color w:val="auto"/>
              </w:rPr>
            </w:pP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900" w:type="dxa"/>
            <w:vAlign w:val="bottom"/>
            <w:gridSpan w:val="11"/>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0"/>
        </w:trPr>
        <w:tc>
          <w:tcPr>
            <w:tcW w:w="20" w:type="dxa"/>
            <w:vAlign w:val="bottom"/>
          </w:tcPr>
          <w:p>
            <w:pPr>
              <w:spacing w:after="0"/>
              <w:rPr>
                <w:sz w:val="13"/>
                <w:szCs w:val="13"/>
                <w:color w:val="auto"/>
              </w:rPr>
            </w:pP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PART II – OTHER INFORMATION</w:t>
            </w:r>
          </w:p>
        </w:tc>
        <w:tc>
          <w:tcPr>
            <w:tcW w:w="7880" w:type="dxa"/>
            <w:vAlign w:val="bottom"/>
            <w:gridSpan w:val="18"/>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1280" w:type="dxa"/>
            <w:vAlign w:val="bottom"/>
            <w:gridSpan w:val="4"/>
          </w:tcPr>
          <w:p>
            <w:pPr>
              <w:spacing w:after="0"/>
              <w:rPr>
                <w:sz w:val="13"/>
                <w:szCs w:val="13"/>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240" w:type="dxa"/>
            <w:vAlign w:val="bottom"/>
            <w:gridSpan w:val="13"/>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20" w:type="dxa"/>
            <w:vAlign w:val="bottom"/>
          </w:tcPr>
          <w:p>
            <w:pPr>
              <w:spacing w:after="0"/>
              <w:rPr>
                <w:sz w:val="13"/>
                <w:szCs w:val="13"/>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1A.</w:t>
            </w:r>
          </w:p>
        </w:tc>
        <w:tc>
          <w:tcPr>
            <w:tcW w:w="8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tcPr>
          <w:p>
            <w:pPr>
              <w:spacing w:after="0"/>
              <w:rPr>
                <w:sz w:val="13"/>
                <w:szCs w:val="13"/>
                <w:color w:val="auto"/>
              </w:rPr>
            </w:pPr>
          </w:p>
        </w:tc>
        <w:tc>
          <w:tcPr>
            <w:tcW w:w="1180" w:type="dxa"/>
            <w:vAlign w:val="bottom"/>
            <w:gridSpan w:val="3"/>
          </w:tcPr>
          <w:p>
            <w:pPr>
              <w:spacing w:after="0"/>
              <w:rPr>
                <w:sz w:val="13"/>
                <w:szCs w:val="13"/>
                <w:color w:val="auto"/>
              </w:rPr>
            </w:pPr>
          </w:p>
        </w:tc>
        <w:tc>
          <w:tcPr>
            <w:tcW w:w="83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200" w:type="dxa"/>
            <w:vAlign w:val="bottom"/>
            <w:tcBorders>
              <w:bottom w:val="single" w:sz="8" w:color="0000FF"/>
            </w:tcBorders>
            <w:gridSpan w:val="2"/>
          </w:tcPr>
          <w:p>
            <w:pPr>
              <w:spacing w:after="0"/>
              <w:rPr>
                <w:sz w:val="13"/>
                <w:szCs w:val="13"/>
                <w:color w:val="auto"/>
              </w:rPr>
            </w:pPr>
          </w:p>
        </w:tc>
        <w:tc>
          <w:tcPr>
            <w:tcW w:w="1080" w:type="dxa"/>
            <w:vAlign w:val="bottom"/>
            <w:gridSpan w:val="2"/>
          </w:tcPr>
          <w:p>
            <w:pPr>
              <w:spacing w:after="0"/>
              <w:rPr>
                <w:sz w:val="13"/>
                <w:szCs w:val="13"/>
                <w:color w:val="auto"/>
              </w:rPr>
            </w:pPr>
          </w:p>
        </w:tc>
        <w:tc>
          <w:tcPr>
            <w:tcW w:w="18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tcBorders>
            <w:gridSpan w:val="7"/>
          </w:tcPr>
          <w:p>
            <w:pPr>
              <w:spacing w:after="0"/>
              <w:rPr>
                <w:sz w:val="13"/>
                <w:szCs w:val="13"/>
                <w:color w:val="auto"/>
              </w:rPr>
            </w:pPr>
          </w:p>
        </w:tc>
        <w:tc>
          <w:tcPr>
            <w:tcW w:w="4880" w:type="dxa"/>
            <w:vAlign w:val="bottom"/>
            <w:gridSpan w:val="3"/>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1280" w:type="dxa"/>
            <w:vAlign w:val="bottom"/>
            <w:gridSpan w:val="4"/>
          </w:tcPr>
          <w:p>
            <w:pPr>
              <w:spacing w:after="0"/>
              <w:rPr>
                <w:sz w:val="13"/>
                <w:szCs w:val="13"/>
                <w:color w:val="auto"/>
              </w:rPr>
            </w:pPr>
          </w:p>
        </w:tc>
        <w:tc>
          <w:tcPr>
            <w:tcW w:w="1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900" w:type="dxa"/>
            <w:vAlign w:val="bottom"/>
            <w:gridSpan w:val="11"/>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1280" w:type="dxa"/>
            <w:vAlign w:val="bottom"/>
            <w:gridSpan w:val="4"/>
          </w:tcPr>
          <w:p>
            <w:pPr>
              <w:spacing w:after="0"/>
              <w:rPr>
                <w:sz w:val="13"/>
                <w:szCs w:val="13"/>
                <w:color w:val="auto"/>
              </w:rPr>
            </w:pP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260" w:type="dxa"/>
            <w:vAlign w:val="bottom"/>
            <w:gridSpan w:val="14"/>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1280" w:type="dxa"/>
            <w:vAlign w:val="bottom"/>
            <w:gridSpan w:val="4"/>
          </w:tcPr>
          <w:p>
            <w:pPr>
              <w:spacing w:after="0"/>
              <w:rPr>
                <w:sz w:val="13"/>
                <w:szCs w:val="13"/>
                <w:color w:val="auto"/>
              </w:rPr>
            </w:pPr>
          </w:p>
        </w:tc>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7820" w:type="dxa"/>
            <w:vAlign w:val="bottom"/>
            <w:gridSpan w:val="17"/>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0"/>
        </w:trPr>
        <w:tc>
          <w:tcPr>
            <w:tcW w:w="20" w:type="dxa"/>
            <w:vAlign w:val="bottom"/>
          </w:tcPr>
          <w:p>
            <w:pPr>
              <w:spacing w:after="0"/>
              <w:rPr>
                <w:sz w:val="13"/>
                <w:szCs w:val="13"/>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722"/>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par value and share data)</w:t>
            </w:r>
          </w:p>
        </w:tc>
        <w:tc>
          <w:tcPr>
            <w:tcW w:w="22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20" w:type="dxa"/>
            <w:vAlign w:val="bottom"/>
          </w:tcPr>
          <w:p>
            <w:pPr>
              <w:spacing w:after="0"/>
              <w:rPr>
                <w:sz w:val="13"/>
                <w:szCs w:val="13"/>
                <w:color w:val="auto"/>
              </w:rPr>
            </w:pPr>
          </w:p>
        </w:tc>
        <w:tc>
          <w:tcPr>
            <w:tcW w:w="14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9"/>
        </w:trPr>
        <w:tc>
          <w:tcPr>
            <w:tcW w:w="808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160"/>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30,056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14,846</w:t>
            </w:r>
          </w:p>
        </w:tc>
      </w:tr>
      <w:tr>
        <w:trPr>
          <w:trHeight w:val="160"/>
        </w:trPr>
        <w:tc>
          <w:tcPr>
            <w:tcW w:w="8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Revenue receivable</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74,166</w:t>
            </w: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Advances to operators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2,682</w:t>
            </w:r>
          </w:p>
        </w:tc>
      </w:tr>
      <w:tr>
        <w:trPr>
          <w:trHeight w:val="160"/>
        </w:trPr>
        <w:tc>
          <w:tcPr>
            <w:tcW w:w="8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Prepaid and other current assets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2,251</w:t>
            </w: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Derivative assets - commodity derivatives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13,978</w:t>
            </w:r>
          </w:p>
        </w:tc>
      </w:tr>
      <w:tr>
        <w:trPr>
          <w:trHeight w:val="160"/>
        </w:trPr>
        <w:tc>
          <w:tcPr>
            <w:tcW w:w="8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Equity investments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17,635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10,960</w:t>
            </w:r>
          </w:p>
        </w:tc>
      </w:tr>
      <w:tr>
        <w:trPr>
          <w:trHeight w:val="17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144,106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118,883</w:t>
            </w:r>
          </w:p>
        </w:tc>
      </w:tr>
      <w:tr>
        <w:trPr>
          <w:trHeight w:val="140"/>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Oil and gas properties, successful efforts method</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1,953,601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1,897,388</w:t>
            </w:r>
          </w:p>
        </w:tc>
      </w:tr>
      <w:tr>
        <w:trPr>
          <w:trHeight w:val="160"/>
        </w:trPr>
        <w:tc>
          <w:tcPr>
            <w:tcW w:w="8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Accumulated depletion</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(912,560)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(857,832)</w:t>
            </w:r>
          </w:p>
        </w:tc>
      </w:tr>
      <w:tr>
        <w:trPr>
          <w:trHeight w:val="17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property and equipment, net</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1,041,041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1,039,556</w:t>
            </w:r>
          </w:p>
        </w:tc>
      </w:tr>
      <w:tr>
        <w:trPr>
          <w:trHeight w:val="140"/>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assets:</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Derivative assets - commodity derivatives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3,743</w:t>
            </w:r>
          </w:p>
        </w:tc>
      </w:tr>
      <w:tr>
        <w:trPr>
          <w:trHeight w:val="160"/>
        </w:trPr>
        <w:tc>
          <w:tcPr>
            <w:tcW w:w="8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long-term assets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5,505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5,889</w:t>
            </w:r>
          </w:p>
        </w:tc>
      </w:tr>
      <w:tr>
        <w:trPr>
          <w:trHeight w:val="17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long-term assets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9,632</w:t>
            </w:r>
          </w:p>
        </w:tc>
      </w:tr>
      <w:tr>
        <w:trPr>
          <w:trHeight w:val="151"/>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1,193,873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1,168,071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0"/>
        </w:trPr>
        <w:tc>
          <w:tcPr>
            <w:tcW w:w="808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60"/>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80,178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76,847</w:t>
            </w:r>
          </w:p>
        </w:tc>
      </w:tr>
      <w:tr>
        <w:trPr>
          <w:trHeight w:val="160"/>
        </w:trPr>
        <w:tc>
          <w:tcPr>
            <w:tcW w:w="8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17,500</w:t>
            </w: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Derivative liabilities - commodity derivatives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42,255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60"/>
        </w:trPr>
        <w:tc>
          <w:tcPr>
            <w:tcW w:w="8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liabilities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810</w:t>
            </w:r>
          </w:p>
        </w:tc>
      </w:tr>
      <w:tr>
        <w:trPr>
          <w:trHeight w:val="17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155,726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95,181</w:t>
            </w:r>
          </w:p>
        </w:tc>
      </w:tr>
      <w:tr>
        <w:trPr>
          <w:trHeight w:val="140"/>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liabilities:</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debt, net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367,832</w:t>
            </w:r>
          </w:p>
        </w:tc>
      </w:tr>
      <w:tr>
        <w:trPr>
          <w:trHeight w:val="160"/>
        </w:trPr>
        <w:tc>
          <w:tcPr>
            <w:tcW w:w="8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Derivative liabilities - commodity derivatives</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Asset retirement obligations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11,968</w:t>
            </w:r>
          </w:p>
        </w:tc>
      </w:tr>
      <w:tr>
        <w:trPr>
          <w:trHeight w:val="160"/>
        </w:trPr>
        <w:tc>
          <w:tcPr>
            <w:tcW w:w="8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tax liability</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73,682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87,330</w:t>
            </w: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long-term payables</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long-term liabilities</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492,511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467,130</w:t>
            </w:r>
          </w:p>
        </w:tc>
      </w:tr>
      <w:tr>
        <w:trPr>
          <w:trHeight w:val="17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648,237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562,311</w:t>
            </w:r>
          </w:p>
        </w:tc>
      </w:tr>
      <w:tr>
        <w:trPr>
          <w:trHeight w:val="140"/>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$0.0001 par value, 431,000,000 shares authorized, 137,601,731 and 136,941,978 issued at March 31, 2026 and December 31, 2025, respectively</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0"/>
        </w:trPr>
        <w:tc>
          <w:tcPr>
            <w:tcW w:w="80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660,626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659,228</w:t>
            </w:r>
          </w:p>
        </w:tc>
      </w:tr>
      <w:tr>
        <w:trPr>
          <w:trHeight w:val="17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Retained earnings (accumulated deficit)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(78,778)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(17,286)</w:t>
            </w:r>
          </w:p>
        </w:tc>
      </w:tr>
      <w:tr>
        <w:trPr>
          <w:trHeight w:val="160"/>
        </w:trPr>
        <w:tc>
          <w:tcPr>
            <w:tcW w:w="8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Treasury stock, at cost, 5,692,412 and 5,686,711 shares at March 31, 2026 and December 31, 2025, respectively</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(36,226)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(36,196)</w:t>
            </w:r>
          </w:p>
        </w:tc>
      </w:tr>
      <w:tr>
        <w:trPr>
          <w:trHeight w:val="17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545,636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605,760</w:t>
            </w:r>
          </w:p>
        </w:tc>
      </w:tr>
      <w:tr>
        <w:trPr>
          <w:trHeight w:val="151"/>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1,193,873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1,168,071</w:t>
            </w:r>
          </w:p>
        </w:tc>
      </w:tr>
      <w:tr>
        <w:trPr>
          <w:trHeight w:val="21"/>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7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 share data)</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8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Oil and natural gas sales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128,264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122,931</w:t>
            </w:r>
          </w:p>
        </w:tc>
      </w:tr>
      <w:tr>
        <w:trPr>
          <w:trHeight w:val="18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8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16,240</w:t>
            </w: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8,368</w:t>
            </w:r>
          </w:p>
        </w:tc>
      </w:tr>
      <w:tr>
        <w:trPr>
          <w:trHeight w:val="196"/>
        </w:trPr>
        <w:tc>
          <w:tcPr>
            <w:tcW w:w="8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48,445</w:t>
            </w: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Impairments of long-lived assets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7,463</w:t>
            </w: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7"/>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113,415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80,396</w:t>
            </w:r>
          </w:p>
        </w:tc>
      </w:tr>
      <w:tr>
        <w:trPr>
          <w:trHeight w:val="19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operating income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42,535</w:t>
            </w: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 on derivatives - commodity derivatives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(14,857)</w:t>
            </w:r>
          </w:p>
        </w:tc>
      </w:tr>
      <w:tr>
        <w:trPr>
          <w:trHeight w:val="196"/>
        </w:trPr>
        <w:tc>
          <w:tcPr>
            <w:tcW w:w="8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net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(loss) on equity investments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w:t>
            </w:r>
          </w:p>
        </w:tc>
      </w:tr>
      <w:tr>
        <w:trPr>
          <w:trHeight w:val="196"/>
        </w:trPr>
        <w:tc>
          <w:tcPr>
            <w:tcW w:w="8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(75,513)</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(29,843)</w:t>
            </w:r>
          </w:p>
        </w:tc>
      </w:tr>
      <w:tr>
        <w:trPr>
          <w:trHeight w:val="187"/>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12,692</w:t>
            </w:r>
          </w:p>
        </w:tc>
      </w:tr>
      <w:tr>
        <w:trPr>
          <w:trHeight w:val="207"/>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w:t>
            </w:r>
          </w:p>
        </w:tc>
      </w:tr>
      <w:tr>
        <w:trPr>
          <w:trHeight w:val="187"/>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(47,031)</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9"/>
        </w:trPr>
        <w:tc>
          <w:tcPr>
            <w:tcW w:w="8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196"/>
        </w:trPr>
        <w:tc>
          <w:tcPr>
            <w:tcW w:w="8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20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number of shares outstanding:</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6"/>
        </w:trPr>
        <w:tc>
          <w:tcPr>
            <w:tcW w:w="8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130,336</w:t>
            </w:r>
          </w:p>
        </w:tc>
      </w:tr>
      <w:tr>
        <w:trPr>
          <w:trHeight w:val="207"/>
        </w:trPr>
        <w:tc>
          <w:tcPr>
            <w:tcW w:w="8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130,401</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5"/>
            <w:vMerge w:val="restart"/>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Common Stock Issued</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2040" w:type="dxa"/>
            <w:vAlign w:val="bottom"/>
            <w:gridSpan w:val="4"/>
            <w:vMerge w:val="restart"/>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9"/>
                <w:szCs w:val="9"/>
                <w:color w:val="auto"/>
              </w:rPr>
            </w:pPr>
          </w:p>
        </w:tc>
        <w:tc>
          <w:tcPr>
            <w:tcW w:w="1300" w:type="dxa"/>
            <w:vAlign w:val="bottom"/>
            <w:gridSpan w:val="5"/>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Earnings (Accumulated</w:t>
            </w:r>
          </w:p>
        </w:tc>
        <w:tc>
          <w:tcPr>
            <w:tcW w:w="20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64"/>
              <w:spacing w:after="0" w:line="95" w:lineRule="exact"/>
              <w:rPr>
                <w:sz w:val="20"/>
                <w:szCs w:val="20"/>
                <w:color w:val="auto"/>
              </w:rPr>
            </w:pPr>
            <w:r>
              <w:rPr>
                <w:rFonts w:ascii="Times New Roman" w:cs="Times New Roman" w:eastAsia="Times New Roman" w:hAnsi="Times New Roman"/>
                <w:sz w:val="10"/>
                <w:szCs w:val="10"/>
                <w:b w:val="1"/>
                <w:bCs w:val="1"/>
                <w:color w:val="auto"/>
              </w:rPr>
              <w:t>Total Stockholders'</w:t>
            </w:r>
          </w:p>
        </w:tc>
        <w:tc>
          <w:tcPr>
            <w:tcW w:w="0" w:type="dxa"/>
            <w:vAlign w:val="bottom"/>
          </w:tcPr>
          <w:p>
            <w:pPr>
              <w:spacing w:after="0"/>
              <w:rPr>
                <w:sz w:val="1"/>
                <w:szCs w:val="1"/>
                <w:color w:val="auto"/>
              </w:rPr>
            </w:pPr>
          </w:p>
        </w:tc>
      </w:tr>
      <w:tr>
        <w:trPr>
          <w:trHeight w:val="15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24"/>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of January 1, 2026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136,942</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659,228</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(17,286)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605,760</w:t>
            </w:r>
          </w:p>
        </w:tc>
        <w:tc>
          <w:tcPr>
            <w:tcW w:w="0" w:type="dxa"/>
            <w:vAlign w:val="bottom"/>
          </w:tcPr>
          <w:p>
            <w:pPr>
              <w:spacing w:after="0"/>
              <w:rPr>
                <w:sz w:val="1"/>
                <w:szCs w:val="1"/>
                <w:color w:val="auto"/>
              </w:rPr>
            </w:pPr>
          </w:p>
        </w:tc>
      </w:tr>
      <w:tr>
        <w:trPr>
          <w:trHeight w:val="160"/>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 issued related to stock-based compensation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1,398</w:t>
            </w:r>
          </w:p>
        </w:tc>
        <w:tc>
          <w:tcPr>
            <w:tcW w:w="0" w:type="dxa"/>
            <w:vAlign w:val="bottom"/>
          </w:tcPr>
          <w:p>
            <w:pPr>
              <w:spacing w:after="0"/>
              <w:rPr>
                <w:sz w:val="1"/>
                <w:szCs w:val="1"/>
                <w:color w:val="auto"/>
              </w:rPr>
            </w:pPr>
          </w:p>
        </w:tc>
      </w:tr>
      <w:tr>
        <w:trPr>
          <w:trHeight w:val="160"/>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stock dividend declared ($0.11 per share)</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(14,461)</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(14,461)</w:t>
            </w:r>
          </w:p>
        </w:tc>
        <w:tc>
          <w:tcPr>
            <w:tcW w:w="0" w:type="dxa"/>
            <w:vAlign w:val="bottom"/>
          </w:tcPr>
          <w:p>
            <w:pPr>
              <w:spacing w:after="0"/>
              <w:rPr>
                <w:sz w:val="1"/>
                <w:szCs w:val="1"/>
                <w:color w:val="auto"/>
              </w:rPr>
            </w:pPr>
          </w:p>
        </w:tc>
      </w:tr>
      <w:tr>
        <w:trPr>
          <w:trHeight w:val="160"/>
        </w:trPr>
        <w:tc>
          <w:tcPr>
            <w:tcW w:w="3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(47,031)</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(47,031)</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137,602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660,626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(78,778)</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545,636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10"/>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3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6"/>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Common Stock Issued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ind w:left="24"/>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4"/>
            <w:vMerge w:val="restart"/>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Borders>
              <w:bottom w:val="single" w:sz="8" w:color="auto"/>
            </w:tcBorders>
            <w:gridSpan w:val="6"/>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center"/>
              <w:ind w:left="24"/>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ind w:left="16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20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64"/>
              <w:spacing w:after="0" w:line="95" w:lineRule="exact"/>
              <w:rPr>
                <w:sz w:val="20"/>
                <w:szCs w:val="20"/>
                <w:color w:val="auto"/>
              </w:rPr>
            </w:pPr>
            <w:r>
              <w:rPr>
                <w:rFonts w:ascii="Times New Roman" w:cs="Times New Roman" w:eastAsia="Times New Roman" w:hAnsi="Times New Roman"/>
                <w:sz w:val="10"/>
                <w:szCs w:val="10"/>
                <w:b w:val="1"/>
                <w:bCs w:val="1"/>
                <w:color w:val="auto"/>
              </w:rPr>
              <w:t>Total Stockholders'</w:t>
            </w:r>
          </w:p>
        </w:tc>
        <w:tc>
          <w:tcPr>
            <w:tcW w:w="0" w:type="dxa"/>
            <w:vAlign w:val="bottom"/>
          </w:tcPr>
          <w:p>
            <w:pPr>
              <w:spacing w:after="0"/>
              <w:rPr>
                <w:sz w:val="1"/>
                <w:szCs w:val="1"/>
                <w:color w:val="auto"/>
              </w:rPr>
            </w:pPr>
          </w:p>
        </w:tc>
      </w:tr>
      <w:tr>
        <w:trPr>
          <w:trHeight w:val="15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left="2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of January 1, 2025</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136,418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655,472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635,353</w:t>
            </w:r>
          </w:p>
        </w:tc>
        <w:tc>
          <w:tcPr>
            <w:tcW w:w="0" w:type="dxa"/>
            <w:vAlign w:val="bottom"/>
          </w:tcPr>
          <w:p>
            <w:pPr>
              <w:spacing w:after="0"/>
              <w:rPr>
                <w:sz w:val="1"/>
                <w:szCs w:val="1"/>
                <w:color w:val="auto"/>
              </w:rPr>
            </w:pPr>
          </w:p>
        </w:tc>
      </w:tr>
      <w:tr>
        <w:trPr>
          <w:trHeight w:val="160"/>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 issued related to stock-based compensation</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Forfeitures of restricted stock</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6"/>
              </w:rPr>
              <w:t>653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60"/>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 dividend declared ($0.11 per share)</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(14,389)</w:t>
            </w:r>
          </w:p>
        </w:tc>
        <w:tc>
          <w:tcPr>
            <w:tcW w:w="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(14,389)</w:t>
            </w: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9,812</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9,812</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 of March 31, 2025</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136,824</w:t>
            </w:r>
          </w:p>
        </w:tc>
        <w:tc>
          <w:tcPr>
            <w:tcW w:w="80" w:type="dxa"/>
            <w:vAlign w:val="bottom"/>
          </w:tcPr>
          <w:p>
            <w:pPr>
              <w:spacing w:after="0"/>
              <w:rPr>
                <w:sz w:val="14"/>
                <w:szCs w:val="14"/>
                <w:color w:val="auto"/>
              </w:rPr>
            </w:pPr>
          </w:p>
        </w:tc>
        <w:tc>
          <w:tcPr>
            <w:tcW w:w="72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14</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656,125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(5,687)</w:t>
            </w:r>
          </w:p>
        </w:tc>
        <w:tc>
          <w:tcPr>
            <w:tcW w:w="8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(36,196)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631,413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0"/>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(47,031)</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9,812</w:t>
            </w:r>
          </w:p>
        </w:tc>
      </w:tr>
      <w:tr>
        <w:trPr>
          <w:trHeight w:val="17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Depletion and accretion expense</w:t>
            </w:r>
          </w:p>
        </w:tc>
        <w:tc>
          <w:tcPr>
            <w:tcW w:w="3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54,979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48,445</w:t>
            </w: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Impairments of long-lived assets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11,174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Unrealized loss on derivatives - commodity derivatives</w:t>
            </w:r>
          </w:p>
        </w:tc>
        <w:tc>
          <w:tcPr>
            <w:tcW w:w="3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60,185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14,744</w:t>
            </w: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w:t>
            </w: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Amortization of deferred financing costs and original issue discount</w:t>
            </w:r>
          </w:p>
        </w:tc>
        <w:tc>
          <w:tcPr>
            <w:tcW w:w="3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(Gain) loss on equity investments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9,971</w:t>
            </w: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income taxes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2,870</w:t>
            </w: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Increase (decrease) in cash attributable to changes in operating assets and liabilities: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Revenue receivable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(11,053)</w:t>
            </w:r>
          </w:p>
        </w:tc>
      </w:tr>
      <w:tr>
        <w:trPr>
          <w:trHeight w:val="160"/>
        </w:trPr>
        <w:tc>
          <w:tcPr>
            <w:tcW w:w="8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3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4,948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w:t>
            </w:r>
          </w:p>
        </w:tc>
      </w:tr>
      <w:tr>
        <w:trPr>
          <w:trHeight w:val="17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and other current assets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w:t>
            </w:r>
          </w:p>
        </w:tc>
      </w:tr>
      <w:tr>
        <w:trPr>
          <w:trHeight w:val="16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liabilities and long-term payables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7,490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58,348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76,091</w:t>
            </w:r>
          </w:p>
        </w:tc>
      </w:tr>
      <w:tr>
        <w:trPr>
          <w:trHeight w:val="140"/>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Capital expenditures for oil and natural gas properties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(60,378)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(66,728)</w:t>
            </w: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Acquisition of oil and natural gas properties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(34,692)</w:t>
            </w: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Refund of advances to operators</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1,303</w:t>
            </w:r>
          </w:p>
        </w:tc>
      </w:tr>
      <w:tr>
        <w:trPr>
          <w:trHeight w:val="160"/>
        </w:trPr>
        <w:tc>
          <w:tcPr>
            <w:tcW w:w="8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Proceeds from sale of oil and natural gas properties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(68,647)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(99,997)</w:t>
            </w:r>
          </w:p>
        </w:tc>
      </w:tr>
      <w:tr>
        <w:trPr>
          <w:trHeight w:val="140"/>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45,000</w:t>
            </w:r>
          </w:p>
        </w:tc>
      </w:tr>
      <w:tr>
        <w:trPr>
          <w:trHeight w:val="16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Purchase of treasury shares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Payment of dividends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(14,389)</w:t>
            </w:r>
          </w:p>
        </w:tc>
      </w:tr>
      <w:tr>
        <w:trPr>
          <w:trHeight w:val="151"/>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25,509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30,595</w:t>
            </w:r>
          </w:p>
        </w:tc>
      </w:tr>
      <w:tr>
        <w:trPr>
          <w:trHeight w:val="159"/>
        </w:trPr>
        <w:tc>
          <w:tcPr>
            <w:tcW w:w="8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0"/>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change in cash</w:t>
            </w:r>
          </w:p>
        </w:tc>
        <w:tc>
          <w:tcPr>
            <w:tcW w:w="3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6,689</w:t>
            </w:r>
          </w:p>
        </w:tc>
      </w:tr>
      <w:tr>
        <w:trPr>
          <w:trHeight w:val="17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at beginning of period</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14,846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9,419</w:t>
            </w:r>
          </w:p>
        </w:tc>
      </w:tr>
      <w:tr>
        <w:trPr>
          <w:trHeight w:val="151"/>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at end of period</w:t>
            </w: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30,056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16,108</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8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60"/>
        </w:trPr>
        <w:tc>
          <w:tcPr>
            <w:tcW w:w="8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activities: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accrued capital expenditures included in accounts payable and accrued liabilities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14,118</w:t>
            </w:r>
          </w:p>
        </w:tc>
      </w:tr>
      <w:tr>
        <w:trPr>
          <w:trHeight w:val="151"/>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Advances to operators applied to development of oil and natural gas properties</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40,131</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18,200</w:t>
            </w: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Granite Ridge Resources, Inc. (together with its consolidated subsidiaries, “Granite Ridge” or the “Company”), a Delaware corporation, is a scaled energy company which aims to provide shareholders with exposure similar to energy private equity through operated partnerships and traditional non-operated assets in multiple basins throughout North America.</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complete discussion of the Company’s significant accounting policies is included in the 2025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Interim Financial Statements, Basis of Presentation, Consolidation, and Significant Estimates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conformity with accounting principles generally accepted in the United States of America (“U.S. GAAP”). The accompanying condensed consolidated financial statements include the accounts of the Company and all of its wholly owned subsidiaries. All intercompany balances and transactions have been eliminated in consolidation.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of the Company have not been audited by the Company’s independent registered public accounting firm, except that the condensed consolidated balance sheet at December 31, 2025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 The results for interim periods are not necessarily indicative of annual results.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2025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reclassifications have been made to prior period amounts to conform to the current period presentation.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condensed consolidated statements of operations, is used by the CODM to assess performance for the oil and natural gas development, exploration and production segment. Significant segment expenses are the same as those reported in the condensed consolidated statements of operations. Total assets, as reported within the Company’s condensed consolidated balance sheets, is the measure of segment assets.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Oil and Natural Gas Properties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uses the successful efforts method of accounting for oil and natural gas producing activities, as further defined under Accounting Standards Codification ("ASC") 932, </w:t>
      </w:r>
      <w:r>
        <w:rPr>
          <w:rFonts w:ascii="Times New Roman" w:cs="Times New Roman" w:eastAsia="Times New Roman" w:hAnsi="Times New Roman"/>
          <w:sz w:val="14"/>
          <w:szCs w:val="14"/>
          <w:i w:val="1"/>
          <w:iCs w:val="1"/>
          <w:color w:val="auto"/>
        </w:rPr>
        <w:t>Extractive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Activities - Oil and Gas </w:t>
      </w:r>
      <w:r>
        <w:rPr>
          <w:rFonts w:ascii="Times New Roman" w:cs="Times New Roman" w:eastAsia="Times New Roman" w:hAnsi="Times New Roman"/>
          <w:sz w:val="14"/>
          <w:szCs w:val="14"/>
          <w:color w:val="auto"/>
        </w:rPr>
        <w:t>(“ASC 932”). Costs to</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$54.7 million and $48.2 million for the three months ended March 31, 2026 and 2025, respectively.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There was no proved property impairment recorded for the three months ended March 31, 2026 or 2025.</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recorded unproved oil and gas properties impairment of $11.2 million for the three months ended March 31, 2026 in the Permian Basin as a result of changes in operator development plans. There was no unproved impairment for the three months ended March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Investments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follows the guidance in ASC 321, </w:t>
      </w:r>
      <w:r>
        <w:rPr>
          <w:rFonts w:ascii="Times New Roman" w:cs="Times New Roman" w:eastAsia="Times New Roman" w:hAnsi="Times New Roman"/>
          <w:sz w:val="14"/>
          <w:szCs w:val="14"/>
          <w:i w:val="1"/>
          <w:iCs w:val="1"/>
          <w:color w:val="auto"/>
        </w:rPr>
        <w:t>Investments - Equity Securities</w:t>
      </w:r>
      <w:r>
        <w:rPr>
          <w:rFonts w:ascii="Times New Roman" w:cs="Times New Roman" w:eastAsia="Times New Roman" w:hAnsi="Times New Roman"/>
          <w:sz w:val="14"/>
          <w:szCs w:val="14"/>
          <w:color w:val="auto"/>
        </w:rPr>
        <w:t xml:space="preserve"> ("ASC 321") for its investment in common stock.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 until the preferred stock was converted into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an unrealized gain of $6.7 million and unrealized loss of $10.0 million for the three months ended March 31, 2026 and 2025, respectively, included in gain (loss) on equity investments within the Company’s condensed consolidated statements of operations that accounts for the change in fair value of the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Performance obligations are satisfied when the customer obtains control of the product, when the Company has no further obligations to perform related to the sale, when the transaction price has been determined, and when collectability is probable.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condensed consolidated statements of operations. At the end of each month when the performance obligations are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Take-in Kind Oil and Natural Gas Revenues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volumes to downstream customers are recorded in lease operating expenses in the condensed consolidated statements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Disaggregated Oil and Natural Gas Revenues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Appalachian Basin (Ohio). The following tables present the disaggregation of the Company’s oil and natural gas revenues by basin for the three months ended March 31, 2026 and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91,847</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31,084</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122,931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81,644</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10,984</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9,857</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5,738</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Appalachian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w:t>
            </w: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128,264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122,931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and Applicable Accounting Pronouncements (Issued and Not Yet Adopted)</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xml:space="preserve"> ("ASU 2024-03"), which requires enhanced disclosure about specific types of expenses included in the expense captions presented on the face of the consolidated statement of operations as well as disclosures about selling expenses. ASU 2024-03 is effective for</w:t>
      </w:r>
    </w:p>
    <w:p>
      <w:pPr>
        <w:spacing w:after="0" w:line="200" w:lineRule="exact"/>
        <w:rPr>
          <w:sz w:val="20"/>
          <w:szCs w:val="20"/>
          <w:color w:val="auto"/>
        </w:rPr>
      </w:pPr>
    </w:p>
    <w:p>
      <w:pPr>
        <w:spacing w:after="0" w:line="219"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annual periods beginning after December 15, 2026 and interim periods beginning after December 15, 2027. Early adoption is permitted. The Company has not early adopted the standard and is currently assessing the effect that ASU 2024-03 will have on its disclosures.</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Derivative Financial Instruments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does not designate its derivative instruments to qualify for hedge accounting. Accordingly, the Company reflects changes in the fair value of its derivative instruments in its condensed consolidated statements of operations as they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Derivatives Collar Option Contracts and Swaps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commodity derivative financial instruments consist of collar option contracts and swaps. 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swap contract allows the Company to receive a fixed price and pay a floating market price to the counterparty for the hedged commodity.</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master netting agreements on individual derivative instruments with its counterparties and therefore certain amounts may be presented on a net basis in the condensed consolidated balance sheets.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Volume of Commodity Derivative Collar Option Contracts and Swap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Company’s outstanding commodity derivative contracts as of 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2028</w:t>
            </w:r>
          </w:p>
        </w:tc>
      </w:tr>
      <w:tr>
        <w:trPr>
          <w:trHeight w:val="160"/>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w:t>
            </w:r>
          </w:p>
        </w:tc>
        <w:tc>
          <w:tcPr>
            <w:tcW w:w="16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w:t>
            </w:r>
          </w:p>
        </w:tc>
        <w:tc>
          <w:tcPr>
            <w:tcW w:w="1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Fourth Quarter</w:t>
            </w:r>
          </w:p>
        </w:tc>
        <w:tc>
          <w:tcPr>
            <w:tcW w:w="28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3"/>
                <w:szCs w:val="13"/>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9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Collar (oil)</w:t>
            </w: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196"/>
        </w:trPr>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(Bbl)</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909,612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2,754,080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1,361,645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floor price ($/Bbl)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ceiling price ($/Bbl)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Swaps (oil)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(Bbl)</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452,936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price ($/Bbl)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Collar (natural gas)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3,868,320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7,447,095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6,099,088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2,211,640</w:t>
            </w:r>
          </w:p>
        </w:tc>
      </w:tr>
      <w:tr>
        <w:trPr>
          <w:trHeight w:val="196"/>
        </w:trPr>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floor price ($/Mcf)</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207"/>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ceiling price ($/Mcf)</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6"/>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Swaps (natural gas)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3,961,363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1,222,218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9,323,814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price ($/Mcf)</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Swaps (Waha Basis)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3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2,540,086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price ($/Mcf)</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Power Capacity Contract</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December 12, 2025, the Company entered into a power capacity contract ("Power Capacity Contract") as part of its strategy to enhance the value of its natural gas production. The arrangement is intended to economically hedge exposure to weak regional gas pricing and negative basis differentials by providing participation in power market revenues derived from converting natural gas into electricity.</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counterparty is constructing a fleet of distributed power generation facilities with an aggregate capacity of 200 megawatts, which are expected to begin commercial operations in late 2026. The Company’s agreement covers a portion of the total expected capacity and has a seven-year settlement term commencing upon the first facility achieving commercial operations.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Under the arrangement, the Company is obligated to make fixed monthly payments based on operating generation capacity multiplied by its participation interest. In return, the Company receives variable payments representing its share of the facilities’ operating profit. Operating profit is generally defined as revenue from the sale of power, less gas feedstock costs and a fixed operating and maintenance charge.</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structure allows the Company to benefit when power prices are favorable relative to gas prices, helping offset periods of depressed gas realizations. Conversely, when gas prices are strong and power generation is less economical, the Company may make net payments under the arrangement but benefits from improved cash flows on its physical gas sales. Overall, the arrangement is intended to stabilize and potentially enhance cash flows by diversifying the Company’s overall commodity price exposure.</w:t>
      </w:r>
    </w:p>
    <w:p>
      <w:pPr>
        <w:spacing w:after="0" w:line="1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following table summarizes the amounts reported in the condensed consolidated statements of operations related to the commodity derivative instruments for the three months ended March 31, 2026 and 2025:</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receipts from (payments on) commodity derivatives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7"/>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 cash receipts from (payments on) commodity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commodity derivatives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(66,444)</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(16,098)</w:t>
            </w: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Power capacity contract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unrealized gain (loss) on commodity derivatives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(14,744)</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derivatives - commodity derivatives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(72,027)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(14,857)</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adopted and follows ASC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Inputs are unadjusted, quoted prices in active markets for identical assets or liabilities at the measurement date.</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carrying amounts and fair values of the Company’s financial instruments as of March 31,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40" w:type="dxa"/>
            <w:vAlign w:val="bottom"/>
            <w:tcBorders>
              <w:bottom w:val="single" w:sz="8" w:color="auto"/>
            </w:tcBorders>
          </w:tcPr>
          <w:p>
            <w:pPr>
              <w:spacing w:after="0"/>
              <w:rPr>
                <w:sz w:val="13"/>
                <w:szCs w:val="13"/>
                <w:color w:val="auto"/>
              </w:rPr>
            </w:pPr>
          </w:p>
        </w:tc>
      </w:tr>
      <w:tr>
        <w:trPr>
          <w:trHeight w:val="160"/>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in thousands)</w:t>
            </w: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Pr>
          <w:p>
            <w:pPr>
              <w:spacing w:after="0"/>
              <w:rPr>
                <w:sz w:val="13"/>
                <w:szCs w:val="1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 commodity derivatives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8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17,721</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17,721</w:t>
            </w: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w:t>
            </w:r>
          </w:p>
        </w:tc>
      </w:tr>
      <w:tr>
        <w:trPr>
          <w:trHeight w:val="212"/>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facilities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8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2029 Senior Notes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336,272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348,373</w:t>
            </w: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 commodity derivatives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47,414</w:t>
            </w:r>
          </w:p>
        </w:tc>
        <w:tc>
          <w:tcPr>
            <w:tcW w:w="8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Revolving credit facilities </w:t>
      </w:r>
      <w:r>
        <w:rPr>
          <w:rFonts w:ascii="Times New Roman" w:cs="Times New Roman" w:eastAsia="Times New Roman" w:hAnsi="Times New Roman"/>
          <w:sz w:val="14"/>
          <w:szCs w:val="14"/>
          <w:color w:val="auto"/>
        </w:rPr>
        <w:t>— The carrying amounts of the revolving credit facilities approximate their fair values, as the applicable interest rates are variable and reflective of market rates and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classified as Level 2 in the fair value hierarchy.</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2029 Senior Notes - </w:t>
      </w:r>
      <w:r>
        <w:rPr>
          <w:rFonts w:ascii="Times New Roman" w:cs="Times New Roman" w:eastAsia="Times New Roman" w:hAnsi="Times New Roman"/>
          <w:sz w:val="14"/>
          <w:szCs w:val="14"/>
          <w:color w:val="auto"/>
        </w:rPr>
        <w:t>The carrying value reported for the Senior Notes is shown net of unamortized discount and unamortized deferred financing costs. The fair value of the Senior Notes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determined utilizing a discounted cash flow approach, discounted using market rates, and is classified as Level 3 in the fair value hierarchy.</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financial assets and liabilities </w:t>
      </w:r>
      <w:r>
        <w:rPr>
          <w:rFonts w:ascii="Times New Roman" w:cs="Times New Roman" w:eastAsia="Times New Roman" w:hAnsi="Times New Roman"/>
          <w:sz w:val="14"/>
          <w:szCs w:val="14"/>
          <w:color w:val="auto"/>
        </w:rPr>
        <w:t>— The carrying amounts of the Company’s other financial assets and liabilities, such as revenue receivable and accounts payable and accrued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 their fair values because of the short maturity of these instruments.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commodity derivatives - collar option contracts and swaps </w:t>
      </w:r>
      <w:r>
        <w:rPr>
          <w:rFonts w:ascii="Times New Roman" w:cs="Times New Roman" w:eastAsia="Times New Roman" w:hAnsi="Times New Roman"/>
          <w:sz w:val="14"/>
          <w:szCs w:val="14"/>
          <w:color w:val="auto"/>
        </w:rPr>
        <w:t>— The fair value of the Company’s collar option contracts and swap commodity derivative instruments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estimated by management considering various factors, including closing exchange and over-the-counter quotations and the time value of the underlying commitments. The fair value of the Company’s commodity derivative instruments is considered to be a Level 2 measurement. </w:t>
      </w:r>
      <w:r>
        <w:rPr>
          <w:rFonts w:ascii="Arial" w:cs="Arial" w:eastAsia="Arial" w:hAnsi="Arial"/>
          <w:sz w:val="12"/>
          <w:szCs w:val="12"/>
          <w:color w:val="auto"/>
        </w:rPr>
        <w:t>S</w:t>
      </w:r>
      <w:r>
        <w:rPr>
          <w:rFonts w:ascii="Times New Roman" w:cs="Times New Roman" w:eastAsia="Times New Roman" w:hAnsi="Times New Roman"/>
          <w:sz w:val="14"/>
          <w:szCs w:val="14"/>
          <w:color w:val="auto"/>
        </w:rPr>
        <w:t>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 commodity derivatives - power capacity contract </w:t>
      </w:r>
      <w:r>
        <w:rPr>
          <w:rFonts w:ascii="Times New Roman" w:cs="Times New Roman" w:eastAsia="Times New Roman" w:hAnsi="Times New Roman"/>
          <w:sz w:val="14"/>
          <w:szCs w:val="14"/>
          <w:color w:val="auto"/>
        </w:rPr>
        <w:t>— The fair value of the Company’s power capacity contract is estimated by management using a valuation model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incorporates both observable and unobservable inputs, as well as the time value of the underlying contractual cash flows. The fair value measurement is classified within Level 3 of the fair value hierarchy because significant inputs, including hourly forward power prices over the term of the agreement, are not observable for the term of the arrangement.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utilizes a Monte Carlo simulation model to estimate fair value. Key inputs include: (i) forecasted hourly forward power prices at the applicable delivery nodes of the generation facilities, (ii) forward natural gas prices, (iii) long-term power and natural gas price volatilities and correlations, (iv) expected commercial operation dates of the facilities, (v) assumed operating efficiencies of the facilities, (vi) credit-adjusted discount rates, (vii) risk-free interest rate curves, and (viii) other relevant economic assumptions.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the valuation incorporates significant unobservable inputs, changes in these assumptions could materially impact the estimated fair value of the arrangement.</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Equity investments </w:t>
      </w:r>
      <w:r>
        <w:rPr>
          <w:rFonts w:ascii="Times New Roman" w:cs="Times New Roman" w:eastAsia="Times New Roman" w:hAnsi="Times New Roman"/>
          <w:sz w:val="14"/>
          <w:szCs w:val="14"/>
          <w:color w:val="auto"/>
        </w:rPr>
        <w:t>— The fair value of the Company’s equity investment in common stock was valued using the instrument's publicly listed trading price, which is considered to be a Level 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measurement due to the use of an observable market quote in an active market.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March 31, 2025, the Company held 1,027,907 shares of Vital Energy’s common stock, for which the fair value is a Level 1 measurement. On December 15, 2025, Crescent Energy completed its previously announced merger with Vital Energy. Under the merger agreement, each issued and outstanding share of Vital Energy common stock was converted into 1.9062 shares of Crescent Energy Class A common stock. As a result of the transaction, the Company’s 685,271 outstanding shares at the time of the merger closing in Vital Energy common stock were converted into 1,306,263 shares of Crescent Class A common stock, which remained held by the Company as of March 31, 2026, for which the fair value is a Level 1 measurement.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March 31, 2026 and December 31, 2025. The Company nets the fair value of commodity derivative instruments by counterparty in the Company’s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60"/>
        </w:trPr>
        <w:tc>
          <w:tcPr>
            <w:tcW w:w="4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Fair Value Measurement Using</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19"/>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95"/>
              <w:spacing w:after="0" w:line="119" w:lineRule="exact"/>
              <w:rPr>
                <w:sz w:val="20"/>
                <w:szCs w:val="20"/>
                <w:color w:val="auto"/>
              </w:rPr>
            </w:pPr>
            <w:r>
              <w:rPr>
                <w:rFonts w:ascii="Times New Roman" w:cs="Times New Roman" w:eastAsia="Times New Roman" w:hAnsi="Times New Roman"/>
                <w:sz w:val="11"/>
                <w:szCs w:val="11"/>
                <w:b w:val="1"/>
                <w:bCs w:val="1"/>
                <w:color w:val="auto"/>
              </w:rPr>
              <w:t>Net Fair Value</w:t>
            </w:r>
          </w:p>
        </w:tc>
      </w:tr>
      <w:tr>
        <w:trPr>
          <w:trHeight w:val="127"/>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Gross Amounts</w:t>
            </w:r>
          </w:p>
        </w:tc>
        <w:tc>
          <w:tcPr>
            <w:tcW w:w="160" w:type="dxa"/>
            <w:vAlign w:val="bottom"/>
          </w:tcPr>
          <w:p>
            <w:pPr>
              <w:spacing w:after="0"/>
              <w:rPr>
                <w:sz w:val="11"/>
                <w:szCs w:val="11"/>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Presented in the</w:t>
            </w:r>
          </w:p>
        </w:tc>
      </w:tr>
      <w:tr>
        <w:trPr>
          <w:trHeight w:val="127"/>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Offset in the Condensed</w:t>
            </w:r>
          </w:p>
        </w:tc>
        <w:tc>
          <w:tcPr>
            <w:tcW w:w="160" w:type="dxa"/>
            <w:vAlign w:val="bottom"/>
          </w:tcPr>
          <w:p>
            <w:pPr>
              <w:spacing w:after="0"/>
              <w:rPr>
                <w:sz w:val="11"/>
                <w:szCs w:val="11"/>
                <w:color w:val="auto"/>
              </w:rPr>
            </w:pPr>
          </w:p>
        </w:tc>
        <w:tc>
          <w:tcPr>
            <w:tcW w:w="108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Condensed</w:t>
            </w:r>
          </w:p>
        </w:tc>
      </w:tr>
      <w:tr>
        <w:trPr>
          <w:trHeight w:val="127"/>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11"/>
                <w:szCs w:val="11"/>
                <w:color w:val="auto"/>
              </w:rPr>
            </w:pPr>
          </w:p>
        </w:tc>
        <w:tc>
          <w:tcPr>
            <w:tcW w:w="108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16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rPr>
              <w:t>Balance Sheet</w:t>
            </w:r>
          </w:p>
        </w:tc>
      </w:tr>
      <w:tr>
        <w:trPr>
          <w:trHeight w:val="222"/>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 investments – common stock</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(at fair value):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4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10,045</w:t>
            </w:r>
          </w:p>
        </w:tc>
        <w:tc>
          <w:tcPr>
            <w:tcW w:w="10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r>
      <w:tr>
        <w:trPr>
          <w:trHeight w:val="207"/>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Commodity derivatives – noncurrent portion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(at fair value):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(42,255)</w:t>
            </w:r>
          </w:p>
        </w:tc>
      </w:tr>
      <w:tr>
        <w:trPr>
          <w:trHeight w:val="196"/>
        </w:trPr>
        <w:tc>
          <w:tcPr>
            <w:tcW w:w="4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Commodity derivatives – noncurrent portion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(5,159)</w:t>
            </w: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instruments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73"/>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87"/>
        </w:trPr>
        <w:tc>
          <w:tcPr>
            <w:tcW w:w="4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60"/>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Fair Value Measurement Using</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19"/>
        </w:trPr>
        <w:tc>
          <w:tcPr>
            <w:tcW w:w="4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96"/>
              <w:spacing w:after="0" w:line="119" w:lineRule="exact"/>
              <w:rPr>
                <w:sz w:val="20"/>
                <w:szCs w:val="20"/>
                <w:color w:val="auto"/>
              </w:rPr>
            </w:pPr>
            <w:r>
              <w:rPr>
                <w:rFonts w:ascii="Times New Roman" w:cs="Times New Roman" w:eastAsia="Times New Roman" w:hAnsi="Times New Roman"/>
                <w:sz w:val="11"/>
                <w:szCs w:val="11"/>
                <w:b w:val="1"/>
                <w:bCs w:val="1"/>
                <w:color w:val="auto"/>
              </w:rPr>
              <w:t>Net Fair Value</w:t>
            </w:r>
          </w:p>
        </w:tc>
      </w:tr>
      <w:tr>
        <w:trPr>
          <w:trHeight w:val="127"/>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Gross Amounts</w:t>
            </w:r>
          </w:p>
        </w:tc>
        <w:tc>
          <w:tcPr>
            <w:tcW w:w="160" w:type="dxa"/>
            <w:vAlign w:val="bottom"/>
          </w:tcPr>
          <w:p>
            <w:pPr>
              <w:spacing w:after="0"/>
              <w:rPr>
                <w:sz w:val="11"/>
                <w:szCs w:val="11"/>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Presented in the</w:t>
            </w:r>
          </w:p>
        </w:tc>
      </w:tr>
      <w:tr>
        <w:trPr>
          <w:trHeight w:val="127"/>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Offset in the Condensed</w:t>
            </w:r>
          </w:p>
        </w:tc>
        <w:tc>
          <w:tcPr>
            <w:tcW w:w="160" w:type="dxa"/>
            <w:vAlign w:val="bottom"/>
          </w:tcPr>
          <w:p>
            <w:pPr>
              <w:spacing w:after="0"/>
              <w:rPr>
                <w:sz w:val="11"/>
                <w:szCs w:val="11"/>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9"/>
              </w:rPr>
              <w:t>Condensed</w:t>
            </w:r>
          </w:p>
        </w:tc>
      </w:tr>
      <w:tr>
        <w:trPr>
          <w:trHeight w:val="127"/>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11"/>
                <w:szCs w:val="11"/>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16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Balance Sheet</w:t>
            </w: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 - common stock</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(at fair value):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4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14,988</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14,988</w:t>
            </w:r>
          </w:p>
        </w:tc>
        <w:tc>
          <w:tcPr>
            <w:tcW w:w="100" w:type="dxa"/>
            <w:vAlign w:val="bottom"/>
          </w:tcPr>
          <w:p>
            <w:pPr>
              <w:spacing w:after="0"/>
              <w:rPr>
                <w:sz w:val="17"/>
                <w:szCs w:val="17"/>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13,978</w:t>
            </w:r>
          </w:p>
        </w:tc>
      </w:tr>
      <w:tr>
        <w:trPr>
          <w:trHeight w:val="207"/>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Commodity derivatives – noncurrent portion</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r>
      <w:tr>
        <w:trPr>
          <w:trHeight w:val="212"/>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(at fair value):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4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7"/>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Commodity derivatives – noncurrent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derivative instruments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16,845</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17,697</w:t>
            </w:r>
          </w:p>
        </w:tc>
        <w:tc>
          <w:tcPr>
            <w:tcW w:w="100" w:type="dxa"/>
            <w:vAlign w:val="bottom"/>
          </w:tcPr>
          <w:p>
            <w:pPr>
              <w:spacing w:after="0"/>
              <w:rPr>
                <w:sz w:val="16"/>
                <w:szCs w:val="16"/>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17,697</w:t>
            </w: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significant unobservable inputs used in the valuation of the Level 3 Power Capacity Contract as of March 31, 2026.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Significant Unobservable Inputs</w:t>
            </w:r>
            <w:r>
              <w:rPr>
                <w:rFonts w:ascii="Times New Roman" w:cs="Times New Roman" w:eastAsia="Times New Roman" w:hAnsi="Times New Roman"/>
                <w:sz w:val="14"/>
                <w:szCs w:val="14"/>
                <w:b w:val="1"/>
                <w:bCs w:val="1"/>
                <w:color w:val="auto"/>
                <w:vertAlign w:val="superscript"/>
              </w:rPr>
              <w:t>(1)</w:t>
            </w: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r>
      <w:tr>
        <w:trPr>
          <w:trHeight w:val="160"/>
        </w:trPr>
        <w:tc>
          <w:tcPr>
            <w:tcW w:w="63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Low</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High</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92"/>
        </w:trPr>
        <w:tc>
          <w:tcPr>
            <w:tcW w:w="6360" w:type="dxa"/>
            <w:vAlign w:val="bottom"/>
          </w:tcPr>
          <w:p>
            <w:pPr>
              <w:ind w:left="80"/>
              <w:spacing w:after="0" w:line="192" w:lineRule="exact"/>
              <w:rPr>
                <w:sz w:val="20"/>
                <w:szCs w:val="20"/>
                <w:color w:val="auto"/>
              </w:rPr>
            </w:pPr>
            <w:r>
              <w:rPr>
                <w:rFonts w:ascii="Times New Roman" w:cs="Times New Roman" w:eastAsia="Times New Roman" w:hAnsi="Times New Roman"/>
                <w:sz w:val="14"/>
                <w:szCs w:val="14"/>
                <w:color w:val="auto"/>
              </w:rPr>
              <w:t>Hourly forward power prices per MWh</w:t>
            </w:r>
            <w:r>
              <w:rPr>
                <w:rFonts w:ascii="Times New Roman" w:cs="Times New Roman" w:eastAsia="Times New Roman" w:hAnsi="Times New Roman"/>
                <w:sz w:val="18"/>
                <w:szCs w:val="18"/>
                <w:color w:val="auto"/>
                <w:vertAlign w:val="superscript"/>
              </w:rPr>
              <w:t>(2)</w:t>
            </w:r>
          </w:p>
        </w:tc>
        <w:tc>
          <w:tcPr>
            <w:tcW w:w="96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(60.49)</w:t>
            </w:r>
          </w:p>
        </w:tc>
        <w:tc>
          <w:tcPr>
            <w:tcW w:w="80" w:type="dxa"/>
            <w:vAlign w:val="bottom"/>
          </w:tcPr>
          <w:p>
            <w:pPr>
              <w:spacing w:after="0"/>
              <w:rPr>
                <w:sz w:val="16"/>
                <w:szCs w:val="16"/>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495.48</w:t>
            </w: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63.75</w:t>
            </w:r>
          </w:p>
        </w:tc>
      </w:tr>
      <w:tr>
        <w:trPr>
          <w:trHeight w:val="202"/>
        </w:trPr>
        <w:tc>
          <w:tcPr>
            <w:tcW w:w="6360" w:type="dxa"/>
            <w:vAlign w:val="bottom"/>
            <w:shd w:val="clear" w:color="auto" w:fill="CCEEFF"/>
          </w:tcPr>
          <w:p>
            <w:pPr>
              <w:ind w:left="80"/>
              <w:spacing w:after="0" w:line="201" w:lineRule="exact"/>
              <w:rPr>
                <w:sz w:val="20"/>
                <w:szCs w:val="20"/>
                <w:color w:val="auto"/>
              </w:rPr>
            </w:pPr>
            <w:r>
              <w:rPr>
                <w:rFonts w:ascii="Times New Roman" w:cs="Times New Roman" w:eastAsia="Times New Roman" w:hAnsi="Times New Roman"/>
                <w:sz w:val="14"/>
                <w:szCs w:val="14"/>
                <w:color w:val="auto"/>
              </w:rPr>
              <w:t>Forward gas prices per mmbtu</w:t>
            </w:r>
            <w:r>
              <w:rPr>
                <w:rFonts w:ascii="Times New Roman" w:cs="Times New Roman" w:eastAsia="Times New Roman" w:hAnsi="Times New Roman"/>
                <w:sz w:val="18"/>
                <w:szCs w:val="18"/>
                <w:color w:val="auto"/>
                <w:vertAlign w:val="superscript"/>
              </w:rPr>
              <w:t>(3)</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2.49</w:t>
            </w:r>
          </w:p>
        </w:tc>
      </w:tr>
      <w:tr>
        <w:trPr>
          <w:trHeight w:val="196"/>
        </w:trPr>
        <w:tc>
          <w:tcPr>
            <w:tcW w:w="6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Forward power volatility</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07"/>
        </w:trPr>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Forward gas volatility</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2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260" w:right="160" w:hanging="255"/>
        <w:spacing w:after="0" w:line="245" w:lineRule="auto"/>
        <w:tabs>
          <w:tab w:leader="none" w:pos="25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range of the inputs may be influenced by factors such as time of day, delivery period, season and location. The average represents the arithmetic average of the underlying inputs and is not weighted by the related fair value or notional amount.</w:t>
      </w:r>
    </w:p>
    <w:p>
      <w:pPr>
        <w:ind w:left="260" w:right="300" w:hanging="255"/>
        <w:spacing w:after="0" w:line="243" w:lineRule="auto"/>
        <w:tabs>
          <w:tab w:leader="none" w:pos="25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Based on the Electric Reliability Council of Texas ("ERCOT") West Load Zone monthly forward around the clock swap prices shaped by historical hourly nodal prices in relation to ERCOT West Load Zone.</w:t>
      </w:r>
    </w:p>
    <w:p>
      <w:pPr>
        <w:ind w:left="240" w:hanging="235"/>
        <w:spacing w:after="0" w:line="221" w:lineRule="auto"/>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Based on the Waha forward monthly gas prices.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fair value of the Level 3 Power Capacity Contract: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7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1"/>
                <w:szCs w:val="11"/>
                <w:b w:val="1"/>
                <w:bCs w:val="1"/>
                <w:color w:val="auto"/>
              </w:rPr>
              <w:t>2026</w:t>
            </w:r>
          </w:p>
        </w:tc>
      </w:tr>
      <w:tr>
        <w:trPr>
          <w:trHeight w:val="20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r>
      <w:tr>
        <w:trPr>
          <w:trHeight w:val="196"/>
        </w:trPr>
        <w:tc>
          <w:tcPr>
            <w:tcW w:w="9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Gain (loss) on commodity derivatives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r>
      <w:tr>
        <w:trPr>
          <w:trHeight w:val="217"/>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 Nonrecurring</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Asset retirement obligations </w:t>
      </w:r>
      <w:r>
        <w:rPr>
          <w:rFonts w:ascii="Times New Roman" w:cs="Times New Roman" w:eastAsia="Times New Roman" w:hAnsi="Times New Roman"/>
          <w:sz w:val="14"/>
          <w:szCs w:val="14"/>
          <w:color w:val="auto"/>
        </w:rPr>
        <w:t>— The fair value measurements of asset retirement obligations are measured on a nonrecurring basis when a well is drilled or acquired or when production equipment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are installed or acquired</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pacing w:after="0" w:line="13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5.</w:t>
        <w:tab/>
        <w:t>Acquisitions and Divestitures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During the three months ended March 31, 2026 and 2025, the Company acquired various oil and natural gas properties. The following table presents the cumulative adjusted purchase price of transactions accounted for as asset acquisitions in accordance with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 by basin included in oil and gas properties on the Company’s condensed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38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5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29,644</w:t>
            </w: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5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Appalachian</w:t>
            </w:r>
          </w:p>
        </w:tc>
        <w:tc>
          <w:tcPr>
            <w:tcW w:w="5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r>
      <w:tr>
        <w:trPr>
          <w:trHeight w:val="17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34,362</w:t>
            </w:r>
          </w:p>
        </w:tc>
      </w:tr>
      <w:tr>
        <w:trPr>
          <w:trHeight w:val="20"/>
        </w:trPr>
        <w:tc>
          <w:tcPr>
            <w:tcW w:w="6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2026, the Company divested proved properties for proceeds of $1.2 million, which was accounted for as a normal retirement with no gain or loss recorded</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the sale. During the three months ended March 31, 2025, the Company divested of unproved properties for proceeds of $0.1 million, for which a gain on sale of $0.1 million was recorded and included in other, net in the condensed consolidated statements of operations.</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Stock Incentive Plan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Granite Ridge Resources, Inc. 2022 Omnibus Incentive Plan (the “Plan”) provides the Company the ability to grant, among other award types, stock options, restricted stock awards, and performance stock units ("PSUs") to directors, officers, employees and consultants or advisors employed by or providing service to the Company.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first quarter of 2026 and 2025, the Company granted restricted stock awards, stock options, and PSUs. Stock-based compensation expense during the three months ended March 31, 2026 and 2025 was $1.4 million and $0.7 million, respectively.</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Restricted Stock Awards </w:t>
      </w:r>
      <w:r>
        <w:rPr>
          <w:rFonts w:ascii="Times New Roman" w:cs="Times New Roman" w:eastAsia="Times New Roman" w:hAnsi="Times New Roman"/>
          <w:sz w:val="14"/>
          <w:szCs w:val="14"/>
          <w:color w:val="auto"/>
        </w:rPr>
        <w:t>- The Company grants service-based restricted stock awards to certain of its employees and consultants, which generally vest ratably over a period of three years or cliff vest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the end of five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PSUs </w:t>
      </w:r>
      <w:r>
        <w:rPr>
          <w:rFonts w:ascii="Times New Roman" w:cs="Times New Roman" w:eastAsia="Times New Roman" w:hAnsi="Times New Roman"/>
          <w:sz w:val="14"/>
          <w:szCs w:val="14"/>
          <w:color w:val="auto"/>
        </w:rPr>
        <w:t>- The Company grants PSUs to certain of its officers under the Plan. PSUs represent the contingent right to receive shares of the Company's common stock once the PSU is vested and earned.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PSUs granted are based upon the achievement of "financial performance" and "market performance" criteria for the Company. Such PSUs cliff vest at the end of three years, generally subject to continued employment through the performance period. The total number of shares eligible to be earned may range from zero to 200% of the target number of PSUs granted, determined based upon achievement of the determined financial performance and market performance criteria. Financial performance is based on the Company's financial performance at the end of the applicable performance period, while market performance is based on the relative standing of total shareholder return ("TSR") achieved by the Company compared to the TSR achieved by a predetermined group of peer companies at the end of the applicable performance period. The Company utilizes the Monte</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Carlo simulation method to determine the fair value of the PSUs based on market performance, while PSUs based on financial performance are valued using the closing price of the Company's common stock on the date of grant. During the three months ended March 31, 2026, the Company granted 86,504 PSUs with a performance period ending on December 31, 2028, half of which are related to financial performance criteria and half of which are related to market performance criteria. During the three months ended March 31, 2025, the Company granted 76,650 PSUs with a performance period ending on December 31, 2027, half of which are related to financial performance criteria and half of which are related to market performance criteria. During the three months ended March 31, 2026, the Company issued 21,515 shares of common stock as a result of the conversion of 13,287 PSUs that vested on December 31, 2025.</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Certain PSUs granted are based on the Company's achievement of stock price thresholds. During 2025, the Company granted 644,330 of these PSUs to certain of its officers under the Plan. During the first quarter of 2026, the Company granted an additional 292,398 of these PSUs. Such PSUs are eligible to vest, generally subject to continued employment, upon the satisfaction of certain stock price thresholds during the performance period, which ends on December 31, 2032. Each such PSU is earned based on whether the Company's stock price achieves a target average stock price for any 20 consecutive trading days during the performance period. If the stock price thresholds are not met by the end of the performance period, the PSUs will be forfeited and no shares of common stock will be issued. Compensation expense for these awards is based on the grant date fair market value of the award, calculated using a Monte Carlo simulation, and such costs are recorded on a straight-line basis over the derived requisite service period for each separately vesting portion of the award, as if the award was, in substance, multiple awards, as applicable.</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 The Company grants stock options to certain of its officers under the Plan. The Company's outstanding stock options expire 10 years following the date of grant. Pursuant to the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options granted under the Plan, 33% of the options vest immediately with an additional 33% vesting on each of the next two anniversaries of the date of the grant, generally subject to continued employment through each such vesting date. During the three months ended March 31, 2026, the Company granted 102,478 stock options with an exercise price of $5.26 per share. During the three months ended March 31, 2025, the Company granted 110,257 stock options with an exercise price of $5.61 per share.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Other Awards </w:t>
      </w:r>
      <w:r>
        <w:rPr>
          <w:rFonts w:ascii="Times New Roman" w:cs="Times New Roman" w:eastAsia="Times New Roman" w:hAnsi="Times New Roman"/>
          <w:sz w:val="14"/>
          <w:szCs w:val="14"/>
          <w:color w:val="auto"/>
        </w:rPr>
        <w:t>- During the three months ended March 31, 2026 and March 31, 2025, the Company issued 3,194 and 3,084 common shares, respectively, to a director in lieu of cash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Stock Awards </w:t>
      </w:r>
      <w:r>
        <w:rPr>
          <w:rFonts w:ascii="Times New Roman" w:cs="Times New Roman" w:eastAsia="Times New Roman" w:hAnsi="Times New Roman"/>
          <w:sz w:val="14"/>
          <w:szCs w:val="14"/>
          <w:color w:val="auto"/>
        </w:rPr>
        <w:t>- The Company may issue other awards to its employees and consultants under the Plan.</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activity under the Plan for the restricted stock awards, PSUs and stock options for the three months ended March 31, 2026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Restricted Stock Awards</w:t>
            </w:r>
          </w:p>
        </w:tc>
        <w:tc>
          <w:tcPr>
            <w:tcW w:w="12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Stock Units</w:t>
            </w:r>
          </w:p>
        </w:tc>
        <w:tc>
          <w:tcPr>
            <w:tcW w:w="240" w:type="dxa"/>
            <w:vAlign w:val="bottom"/>
          </w:tcPr>
          <w:p>
            <w:pPr>
              <w:spacing w:after="0"/>
              <w:rPr>
                <w:sz w:val="13"/>
                <w:szCs w:val="13"/>
                <w:color w:val="auto"/>
              </w:rPr>
            </w:pP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0" w:type="dxa"/>
            <w:vAlign w:val="bottom"/>
          </w:tcPr>
          <w:p>
            <w:pPr>
              <w:spacing w:after="0"/>
              <w:rPr>
                <w:sz w:val="1"/>
                <w:szCs w:val="1"/>
                <w:color w:val="auto"/>
              </w:rPr>
            </w:pPr>
          </w:p>
        </w:tc>
      </w:tr>
      <w:tr>
        <w:trPr>
          <w:trHeight w:val="20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719,407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298,458</w:t>
            </w:r>
          </w:p>
        </w:tc>
        <w:tc>
          <w:tcPr>
            <w:tcW w:w="0" w:type="dxa"/>
            <w:vAlign w:val="bottom"/>
          </w:tcPr>
          <w:p>
            <w:pPr>
              <w:spacing w:after="0"/>
              <w:rPr>
                <w:sz w:val="1"/>
                <w:szCs w:val="1"/>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granted (1)</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102,478</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canceled/forfeited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Awards vested (2)</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(305,913)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1,085,022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400,936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 Weighted average grant date fair value per share / unit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60" w:type="dxa"/>
            <w:vAlign w:val="bottom"/>
            <w:vMerge w:val="continue"/>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5.14</w:t>
            </w:r>
          </w:p>
        </w:tc>
        <w:tc>
          <w:tcPr>
            <w:tcW w:w="8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2"/>
                <w:szCs w:val="12"/>
                <w:color w:val="auto"/>
              </w:rPr>
            </w:pP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bl>
    <w:p>
      <w:pPr>
        <w:ind w:left="20" w:right="200" w:hanging="1"/>
        <w:spacing w:after="0" w:line="234" w:lineRule="auto"/>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vested and PSUs converted to common stock during the period. During the three months ended March 31, 2026, 68,295 stock options vested. As of March 31, 2026, there were a total of 317,234 stock options exercisable.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activity under the Plan for the restricted stock awards, PSUs and stock options for the three months ended March 31, 2025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Restricted Stock Awards</w:t>
            </w:r>
          </w:p>
        </w:tc>
        <w:tc>
          <w:tcPr>
            <w:tcW w:w="12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Stock Units</w:t>
            </w:r>
          </w:p>
        </w:tc>
        <w:tc>
          <w:tcPr>
            <w:tcW w:w="240" w:type="dxa"/>
            <w:vAlign w:val="bottom"/>
          </w:tcPr>
          <w:p>
            <w:pPr>
              <w:spacing w:after="0"/>
              <w:rPr>
                <w:sz w:val="13"/>
                <w:szCs w:val="13"/>
                <w:color w:val="auto"/>
              </w:rPr>
            </w:pP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0" w:type="dxa"/>
            <w:vAlign w:val="bottom"/>
          </w:tcPr>
          <w:p>
            <w:pPr>
              <w:spacing w:after="0"/>
              <w:rPr>
                <w:sz w:val="1"/>
                <w:szCs w:val="1"/>
                <w:color w:val="auto"/>
              </w:rPr>
            </w:pPr>
          </w:p>
        </w:tc>
      </w:tr>
      <w:tr>
        <w:trPr>
          <w:trHeight w:val="20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518,048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97,532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526,483</w:t>
            </w:r>
          </w:p>
        </w:tc>
        <w:tc>
          <w:tcPr>
            <w:tcW w:w="0" w:type="dxa"/>
            <w:vAlign w:val="bottom"/>
          </w:tcPr>
          <w:p>
            <w:pPr>
              <w:spacing w:after="0"/>
              <w:rPr>
                <w:sz w:val="1"/>
                <w:szCs w:val="1"/>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granted (1)</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110,257</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canceled/forfeited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vested (2)</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636,740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 Weighted average grant date fair value per share / unit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60" w:type="dxa"/>
            <w:vAlign w:val="bottom"/>
            <w:vMerge w:val="continue"/>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6.79</w:t>
            </w:r>
          </w:p>
        </w:tc>
        <w:tc>
          <w:tcPr>
            <w:tcW w:w="80" w:type="dxa"/>
            <w:vAlign w:val="bottom"/>
          </w:tcPr>
          <w:p>
            <w:pPr>
              <w:spacing w:after="0"/>
              <w:rPr>
                <w:sz w:val="12"/>
                <w:szCs w:val="12"/>
                <w:color w:val="auto"/>
              </w:rPr>
            </w:pPr>
          </w:p>
        </w:tc>
        <w:tc>
          <w:tcPr>
            <w:tcW w:w="24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bl>
    <w:p>
      <w:pPr>
        <w:ind w:left="20" w:right="280" w:hanging="1"/>
        <w:spacing w:after="0" w:line="234" w:lineRule="auto"/>
        <w:tabs>
          <w:tab w:leader="none" w:pos="22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and PSUs vested during the period. During the three months ended March 31, 2025, 212,249 stock options vested and 518,444 stock options were exercisable as of March 31, 2025.</w:t>
      </w:r>
    </w:p>
    <w:p>
      <w:pPr>
        <w:spacing w:after="0" w:line="22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a C corporation and subject to U.S. federal, state, and local income taxes. The Company records income taxes through the use of an estimated annual effective tax rate and specific events that are discretely recognized as they occur. For the three months ended March 31, 2026 and 2025, the Company recorded an income tax benefit of $13.6 million and income tax expense of $2.9 million, respectively.</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the end of each interim period, the Company applies an estimated annualized effective tax rate to the current period income or loss before income taxes, which can produce interim effective tax rate fluctuations. The Company's effective income tax rate was 22.5% and 22.7% for the three months ended March 31, 2026 and 2025, respectively. The effective tax rate differs from the enacted statutory rate of 21% primarily due to the impact of certain discrete items and state income taxes.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evaluated all tax positions for which the statute of limitations remains open and believes that the material positions taken would more likely than not be sustained upon examination. Therefore, as of March 31, 2026 and December 31, 2025, the Company had no unrecognized tax benefits and did not recognize any interest or penalties during those respective periods related to unrecognized tax benefits.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long-term debt is comprised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420" w:type="dxa"/>
            <w:vAlign w:val="bottom"/>
          </w:tcPr>
          <w:p>
            <w:pPr>
              <w:spacing w:after="0"/>
              <w:rPr>
                <w:sz w:val="13"/>
                <w:szCs w:val="13"/>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80" w:type="dxa"/>
            <w:vAlign w:val="bottom"/>
          </w:tcPr>
          <w:p>
            <w:pPr>
              <w:spacing w:after="0"/>
              <w:rPr>
                <w:sz w:val="13"/>
                <w:szCs w:val="13"/>
                <w:color w:val="auto"/>
              </w:rPr>
            </w:pPr>
          </w:p>
        </w:tc>
        <w:tc>
          <w:tcPr>
            <w:tcW w:w="188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20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01"/>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Senior unsecured notes due 2029</w:t>
            </w: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9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20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on senior notes</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discount</w:t>
            </w:r>
          </w:p>
        </w:tc>
        <w:tc>
          <w:tcPr>
            <w:tcW w:w="4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(13,454)</w:t>
            </w:r>
          </w:p>
        </w:tc>
        <w:tc>
          <w:tcPr>
            <w:tcW w:w="0" w:type="dxa"/>
            <w:vAlign w:val="bottom"/>
          </w:tcPr>
          <w:p>
            <w:pPr>
              <w:spacing w:after="0"/>
              <w:rPr>
                <w:sz w:val="1"/>
                <w:szCs w:val="1"/>
                <w:color w:val="auto"/>
              </w:rPr>
            </w:pPr>
          </w:p>
        </w:tc>
      </w:tr>
      <w:tr>
        <w:trPr>
          <w:trHeight w:val="19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net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426,272</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385,332</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Less: Current portion of outstanding long-term debt</w:t>
            </w:r>
            <w:r>
              <w:rPr>
                <w:rFonts w:ascii="Times New Roman" w:cs="Times New Roman" w:eastAsia="Times New Roman" w:hAnsi="Times New Roman"/>
                <w:sz w:val="18"/>
                <w:szCs w:val="18"/>
                <w:color w:val="auto"/>
                <w:vertAlign w:val="superscript"/>
              </w:rPr>
              <w:t>(1)</w:t>
            </w:r>
          </w:p>
        </w:tc>
        <w:tc>
          <w:tcPr>
            <w:tcW w:w="4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0" w:type="dxa"/>
            <w:vAlign w:val="bottom"/>
          </w:tcPr>
          <w:p>
            <w:pPr>
              <w:spacing w:after="0"/>
              <w:rPr>
                <w:sz w:val="1"/>
                <w:szCs w:val="1"/>
                <w:color w:val="auto"/>
              </w:rPr>
            </w:pPr>
          </w:p>
        </w:tc>
      </w:tr>
      <w:tr>
        <w:trPr>
          <w:trHeight w:val="19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debt, net</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400,022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367,832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 of March 31, 2026 and December 31, 2025, the current portion of long-term debt reflects $26.3 million and $17.5 million, respectively, due on the Senior Notes over the next twelve months.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Granite Ridge Credit Agreement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24, 2022, Granite Ridge entered into a senior secured revolving credit agreement (as amended, the “Credit Agreement”) with a syndicate of banks, currently led by Bank of America, N.A., as administrative agent. The Credit Agreement has a maturity date of the earliest to occur of (A) November 5, 2029 or (B) the date that is ninety-one days prior to the stated maturity date of the unsecured senior notes issued in November 2025 if any such notes remain outstanding on such date.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borrowing base is redetermined semiannually on or about April 1 and October 1 of each calendar year, and is subject to additional adjustments from time to time, including for asset sales, elimination or reduction of hedge positions and incurrence of other debt. As of March 31, 2026, the Company had a borrowing base of $375.0 million and elected commitments of $375.0 million.</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March 31, 2026, the Company had outstanding borrowings of $90.0 million and $0.3 million of letters of credit issued and outstanding under the Credit Agreement, resulting in availability of $284.7 million. The Credit Agreement is guaranteed by the restricted subsidiaries of Granite Ridge and is secured by a first priority mortgage and security interest in substantially all of the Company's and its restricted subsidiaries' assets.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275 to 375 basis points, depending on the percentage of the borrowing base utilized. Base rate loans bear interest at a rate per annum equal to the greatest of: (i) the U.S. prime rate as publicly announced from time to time by Bank of America, N.A.; (ii) the federal funds effective rate plus 50 basis points; (iii) the adjusted SOFR rate for a one-month interest period plus 100 basis points; and (iv) 100 basis points, plus, in the case of any base rate loan, an applicable margin ranging from 175 to 275 basis points, depending on the percentage of the borrowing base utilized.</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contains certain financial covenants, including the maintenance of the following financial ratios:</w:t>
      </w:r>
    </w:p>
    <w:p>
      <w:pPr>
        <w:spacing w:after="0" w:line="179" w:lineRule="exact"/>
        <w:rPr>
          <w:sz w:val="20"/>
          <w:szCs w:val="20"/>
          <w:color w:val="auto"/>
        </w:rPr>
      </w:pPr>
    </w:p>
    <w:p>
      <w:pPr>
        <w:ind w:left="760" w:hanging="500"/>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leverage ratio, which is the ratio of Consolidated Total Debt to EBITDAX (each as defined in the Credit Agreement), of not greater than 3.00 to 1.00 as of the last day of any fiscal quarter, and</w:t>
      </w:r>
    </w:p>
    <w:p>
      <w:pPr>
        <w:spacing w:after="0" w:line="124"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Current Ratio (as defined in the Credit Agreement), of not less than 1.00 to 1.00 as of the last day of each fiscal quarter, and</w:t>
      </w:r>
    </w:p>
    <w:p>
      <w:pPr>
        <w:spacing w:after="0" w:line="178" w:lineRule="exact"/>
        <w:rPr>
          <w:rFonts w:ascii="Times New Roman" w:cs="Times New Roman" w:eastAsia="Times New Roman" w:hAnsi="Times New Roman"/>
          <w:sz w:val="14"/>
          <w:szCs w:val="14"/>
          <w:color w:val="auto"/>
        </w:rPr>
      </w:pPr>
    </w:p>
    <w:p>
      <w:pPr>
        <w:ind w:left="760" w:hanging="500"/>
        <w:spacing w:after="0" w:line="287"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Asset Coverage Ratio (as defined in the Credit Agreement), commencing with the fiscal quarter ending June 30, 2026, of not less than (a) for each such fiscal quarter ending prior to December 31, 2026, 1.25 to 1.00 and (b) for each such fiscal quarter ending on or after December 31, 2026, 1.50 to 1.00.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2026, the Company was in compliance with all covenants required by the Credit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2029 Senior Notes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November 5, 2025, the Company, as issuer, completed an issuance of $350.0 million aggregate principal amount of 8.875% senior unsecured notes at 96.0% of par with stated maturity on November 5, 2029 (the "2029 Senior Notes") pursuant to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Interest is due to be paid at the end of each quarter.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The Company has $26.3 million included in current liabilities in the condensed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2029 Senior Notes include certain covenants, which, among other things, requires the maintenance of (i) a net leverage ratio not greater than 3.25 to 1.00 and an (ii)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Under the 2029 Senior Notes, the Company must maintain a minimum hedging requirement included within the Senior Notes for oil and natural gas based on proved developed producing projected volumes for each commodity on a rolling 18-month basis.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2026, the Company was in compliance with all financial covenants required by the Note Purchase Agreement.</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Equity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paid dividends of $14.5 million, or $0.11 per share during the three months ended March 31, 2026. The Company paid dividends of $14.4 million, or $0.11 per share, during the three months ended March 31, 2025. Any payment of future dividends will be at the discretion of the Company’s Board of Directors.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Related Party Transactions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24, 2022, Grey Rock Administration, LLC (the “Manager”) entered into a Management Services Agreement with Granite Ridge (the “MSA”). Under the MSA, the Manager provides general management, administrative, and operating services covering the oil and gas assets and other properties of the Company and other day-to-day business and affairs of the Company. In accordance with the MSA, the Company paid the Manager an annual services fee of $10.0 million and reimbursed the Manager for certain Granite Ridge group costs related to the operation of the Company's assets (including for third party costs allocated or attributable to the assets of the Company).</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10, 2025, the Company entered into Amendment No. 1 to the Management Services Agreement, which amended the Company's existing MSA with the Manager ("Amendment No. 1"). Amendment No. 1, among other things, (a) extended the initial term from April 30, 2028 to April 30, 2031 and (b) increased the Services Fee (as defined in the MSA) from $10.0 million to $11.75 million effective January 1, 2026, provided for annual CPI-based adjustments beginning January 1, 2027 and delegated to management the authority to increase the Services Fee up to a maximum total of $12.5 million. The MSA will automatically renew for additional consecutive one-year renewal terms until terminated in accordance with its terms. Upon any termination of the MSA, the Manager shall provide transition services for a period of up to 90 days.</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and 2025, service fees for the Company under the MSA were approximately $2.9 million and $2.5 million, respectively, and are included in general and administrative expenses within the accompanying condensed consolidated statements of operations.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12, 2025, Granite Ridge Ventures, LLC, a Delaware limited liability company and wholly owned subsidiary of the Company, entered into a power capacity contract with a portfolio company of funds managed by affiliates of Grey Rock Investment Partners ("Conduit Bravo"). A third party entered into a transaction with Conduit Bravo on substantially similar terms and at a substantially similar time to this transaction.</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Risk Concentrations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Derivative Counterparties </w:t>
      </w:r>
      <w:r>
        <w:rPr>
          <w:rFonts w:ascii="Times New Roman" w:cs="Times New Roman" w:eastAsia="Times New Roman" w:hAnsi="Times New Roman"/>
          <w:sz w:val="14"/>
          <w:szCs w:val="14"/>
          <w:color w:val="auto"/>
        </w:rPr>
        <w:t>- The Company uses credit and other financial criteria to evaluate the creditworthiness of counterparties to its derivative instruments. The Company believes that all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counterparties are currently acceptable credit risks. All of the Company’s outstanding derivative instruments are covered by International Swap Dealers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Association Master Agreements (“ISDAs”). All collar option contracts and swap derivatives entered into are with parties that are also lenders under the Company’s Credit Agreement. The Company’s obligations under the derivative instruments, with the exception of the Power Capacity Contract, are secured pursuant to the Credit Agreement, and no additional collateral has been posted by the Company.</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Earnings (Loss)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the two-class method of calculating earnings (loss) per share because certain of the Company’s unvested stock-based awards qualify as participating securities.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computation of diluted net income (loss) per share excludes contingently issuable shares related to certain market-based equity awards as the required market price conditions had not been satisfied as of the end of the reporting period. These awards represent 936,728 shares of common stock that may be issued if specified market price targets are achieved. Because the market conditions were not met as of March 31, 2026, the shares were not included in the diluted weighted average share count. If the market conditions are satisfied in future periods, these shares could have a dilutive effect on earnings per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basic and diluted earnings per share computations for the three months ended 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 except per share data)</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9,812</w:t>
            </w:r>
          </w:p>
        </w:tc>
      </w:tr>
      <w:tr>
        <w:trPr>
          <w:trHeight w:val="20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Participating basic earnings (a)</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attributable to common stockholders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r>
      <w:tr>
        <w:trPr>
          <w:trHeight w:val="20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Reallocation of participating earnings</w:t>
            </w: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attributable to common stockholders</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130,336</w:t>
            </w:r>
          </w:p>
        </w:tc>
      </w:tr>
      <w:tr>
        <w:trPr>
          <w:trHeight w:val="207"/>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Dilutive performance stock units</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6"/>
        </w:trPr>
        <w:tc>
          <w:tcPr>
            <w:tcW w:w="8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Dilutive stock options</w:t>
            </w: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7"/>
        </w:trPr>
        <w:tc>
          <w:tcPr>
            <w:tcW w:w="8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202"/>
        </w:trPr>
        <w:tc>
          <w:tcPr>
            <w:tcW w:w="8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r>
    </w:tbl>
    <w:p>
      <w:pPr>
        <w:spacing w:after="0" w:line="7" w:lineRule="exact"/>
        <w:rPr>
          <w:sz w:val="20"/>
          <w:szCs w:val="20"/>
          <w:color w:val="auto"/>
        </w:rPr>
      </w:pPr>
    </w:p>
    <w:p>
      <w:pPr>
        <w:jc w:val="both"/>
        <w:ind w:left="20" w:right="180" w:hanging="1"/>
        <w:spacing w:after="0" w:line="270" w:lineRule="auto"/>
        <w:tabs>
          <w:tab w:leader="none" w:pos="2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the PSUs and stock options which were not included in the computation of diluted earnings per share, as inclusion of these items would be antidilutive.</w:t>
      </w:r>
    </w:p>
    <w:p>
      <w:pPr>
        <w:spacing w:after="0" w:line="21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antidilutive common shares: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6"/>
        </w:trPr>
        <w:tc>
          <w:tcPr>
            <w:tcW w:w="9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Antidilutive performance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105,802</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102,365</w:t>
            </w:r>
          </w:p>
        </w:tc>
      </w:tr>
      <w:tr>
        <w:trPr>
          <w:trHeight w:val="207"/>
        </w:trPr>
        <w:tc>
          <w:tcPr>
            <w:tcW w:w="9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Antidilutive stock options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330,340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553,240</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antidilutive common shares</w:t>
            </w:r>
          </w:p>
        </w:tc>
        <w:tc>
          <w:tcPr>
            <w:tcW w:w="9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436,142</w:t>
            </w:r>
          </w:p>
        </w:tc>
        <w:tc>
          <w:tcPr>
            <w:tcW w:w="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655,605</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Subsequent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Board of Directors declared a regular quarterly cash dividend of $0.11 per share for the second quarter of 2026. The dividend will be paid on June 12, 2026 to stockholders of record as of May 29,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Commodity Derivative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 to March 31, 2026, the Company entered into the following oil and natural gas derivative contracts to hedge estimated future production.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2028</w:t>
            </w:r>
          </w:p>
        </w:tc>
        <w:tc>
          <w:tcPr>
            <w:tcW w:w="20" w:type="dxa"/>
            <w:vAlign w:val="bottom"/>
          </w:tcPr>
          <w:p>
            <w:pPr>
              <w:spacing w:after="0"/>
              <w:rPr>
                <w:sz w:val="14"/>
                <w:szCs w:val="14"/>
                <w:color w:val="auto"/>
              </w:rPr>
            </w:pPr>
          </w:p>
        </w:tc>
      </w:tr>
      <w:tr>
        <w:trPr>
          <w:trHeight w:val="160"/>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Second Quarter</w:t>
            </w:r>
          </w:p>
        </w:tc>
        <w:tc>
          <w:tcPr>
            <w:tcW w:w="16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Third Quarter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Fourth Quarter</w:t>
            </w:r>
          </w:p>
        </w:tc>
        <w:tc>
          <w:tcPr>
            <w:tcW w:w="280" w:type="dxa"/>
            <w:vAlign w:val="bottom"/>
          </w:tcPr>
          <w:p>
            <w:pPr>
              <w:spacing w:after="0"/>
              <w:rPr>
                <w:sz w:val="13"/>
                <w:szCs w:val="13"/>
                <w:color w:val="auto"/>
              </w:rPr>
            </w:pPr>
          </w:p>
        </w:tc>
        <w:tc>
          <w:tcPr>
            <w:tcW w:w="920" w:type="dxa"/>
            <w:vAlign w:val="bottom"/>
            <w:gridSpan w:val="2"/>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r>
      <w:tr>
        <w:trPr>
          <w:trHeight w:val="24"/>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Oil Swaps (WTI / Brent CMA Diff)</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Volume (Bbl)</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322,105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price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Gas Swaps (Waha Basis)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Volume (Mcf)</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2,300,200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111,100</w:t>
            </w:r>
          </w:p>
        </w:tc>
        <w:tc>
          <w:tcPr>
            <w:tcW w:w="20" w:type="dxa"/>
            <w:vAlign w:val="bottom"/>
          </w:tcPr>
          <w:p>
            <w:pPr>
              <w:spacing w:after="0"/>
              <w:rPr>
                <w:sz w:val="18"/>
                <w:szCs w:val="18"/>
                <w:color w:val="auto"/>
              </w:rPr>
            </w:pPr>
          </w:p>
        </w:tc>
      </w:tr>
      <w:tr>
        <w:trPr>
          <w:trHeight w:val="191"/>
        </w:trPr>
        <w:tc>
          <w:tcPr>
            <w:tcW w:w="3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price ($/Mcf)</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6"/>
                <w:szCs w:val="16"/>
                <w:color w:val="auto"/>
              </w:rPr>
            </w:pPr>
          </w:p>
        </w:tc>
      </w:tr>
      <w:tr>
        <w:trPr>
          <w:trHeight w:val="424"/>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  Supplementary Data</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3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Capitalized Costs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62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9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Oil and natural gas properties:</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Proved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1,847,791</w:t>
            </w:r>
          </w:p>
        </w:tc>
        <w:tc>
          <w:tcPr>
            <w:tcW w:w="80" w:type="dxa"/>
            <w:vAlign w:val="bottom"/>
          </w:tcPr>
          <w:p>
            <w:pPr>
              <w:spacing w:after="0"/>
              <w:rPr>
                <w:sz w:val="17"/>
                <w:szCs w:val="17"/>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1,788,292</w:t>
            </w:r>
          </w:p>
        </w:tc>
        <w:tc>
          <w:tcPr>
            <w:tcW w:w="20" w:type="dxa"/>
            <w:vAlign w:val="bottom"/>
          </w:tcPr>
          <w:p>
            <w:pPr>
              <w:spacing w:after="0"/>
              <w:rPr>
                <w:sz w:val="17"/>
                <w:szCs w:val="17"/>
                <w:color w:val="auto"/>
              </w:rPr>
            </w:pPr>
          </w:p>
        </w:tc>
      </w:tr>
      <w:tr>
        <w:trPr>
          <w:trHeight w:val="207"/>
        </w:trPr>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Unproved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109,096</w:t>
            </w:r>
          </w:p>
        </w:tc>
        <w:tc>
          <w:tcPr>
            <w:tcW w:w="20" w:type="dxa"/>
            <w:vAlign w:val="bottom"/>
          </w:tcPr>
          <w:p>
            <w:pPr>
              <w:spacing w:after="0"/>
              <w:rPr>
                <w:sz w:val="18"/>
                <w:szCs w:val="18"/>
                <w:color w:val="auto"/>
              </w:rPr>
            </w:pPr>
          </w:p>
        </w:tc>
      </w:tr>
      <w:tr>
        <w:trPr>
          <w:trHeight w:val="196"/>
        </w:trPr>
        <w:tc>
          <w:tcPr>
            <w:tcW w:w="3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Less: accumulated depletion</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(912,560)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(857,832)</w:t>
            </w:r>
          </w:p>
        </w:tc>
        <w:tc>
          <w:tcPr>
            <w:tcW w:w="20" w:type="dxa"/>
            <w:vAlign w:val="bottom"/>
          </w:tcPr>
          <w:p>
            <w:pPr>
              <w:spacing w:after="0"/>
              <w:rPr>
                <w:sz w:val="17"/>
                <w:szCs w:val="17"/>
                <w:color w:val="auto"/>
              </w:rPr>
            </w:pPr>
          </w:p>
        </w:tc>
      </w:tr>
      <w:tr>
        <w:trPr>
          <w:trHeight w:val="212"/>
        </w:trPr>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capitalized costs for oil and natural gas properties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1,041,041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1,039,556</w:t>
            </w:r>
          </w:p>
        </w:tc>
        <w:tc>
          <w:tcPr>
            <w:tcW w:w="2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r>
      <w:tr>
        <w:trPr>
          <w:trHeight w:val="87"/>
        </w:trPr>
        <w:tc>
          <w:tcPr>
            <w:tcW w:w="3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Incurred for Oil and Natural Gas Producing Activities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acquisition costs: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Proved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13,341</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Unproved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21,021</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Development costs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71,402</w:t>
            </w:r>
          </w:p>
        </w:tc>
      </w:tr>
      <w:tr>
        <w:trPr>
          <w:trHeight w:val="217"/>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costs incurred for oil and natural gas properties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68,437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105,764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8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87"/>
        </w:trPr>
        <w:tc>
          <w:tcPr>
            <w:tcW w:w="8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w:t>
      </w:r>
    </w:p>
    <w:p>
      <w:pPr>
        <w:spacing w:after="0" w:line="91" w:lineRule="exact"/>
        <w:rPr>
          <w:sz w:val="20"/>
          <w:szCs w:val="20"/>
          <w:color w:val="auto"/>
        </w:rPr>
      </w:pPr>
    </w:p>
    <w:p>
      <w:pPr>
        <w:jc w:val="both"/>
        <w:ind w:firstLine="255"/>
        <w:spacing w:after="0" w:line="181" w:lineRule="exact"/>
        <w:rPr>
          <w:sz w:val="20"/>
          <w:szCs w:val="20"/>
          <w:color w:val="auto"/>
        </w:rPr>
      </w:pPr>
      <w:r>
        <w:rPr>
          <w:rFonts w:ascii="Times New Roman" w:cs="Times New Roman" w:eastAsia="Times New Roman" w:hAnsi="Times New Roman"/>
          <w:sz w:val="14"/>
          <w:szCs w:val="14"/>
          <w:i w:val="1"/>
          <w:iCs w:val="1"/>
          <w:color w:val="auto"/>
        </w:rPr>
        <w:t xml:space="preserve">The following discussion contains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forward</w:t>
      </w:r>
      <w:r>
        <w:rPr>
          <w:rFonts w:ascii="MS PGothic" w:cs="MS PGothic" w:eastAsia="MS PGothic" w:hAnsi="MS PGothic"/>
          <w:sz w:val="14"/>
          <w:szCs w:val="14"/>
          <w:color w:val="auto"/>
        </w:rPr>
        <w:t>‑</w:t>
      </w:r>
      <w:r>
        <w:rPr>
          <w:rFonts w:ascii="Times New Roman" w:cs="Times New Roman" w:eastAsia="Times New Roman" w:hAnsi="Times New Roman"/>
          <w:sz w:val="14"/>
          <w:szCs w:val="14"/>
          <w:i w:val="1"/>
          <w:iCs w:val="1"/>
          <w:color w:val="auto"/>
        </w:rPr>
        <w:t>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i w:val="1"/>
          <w:iCs w:val="1"/>
          <w:color w:val="auto"/>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Looking Statements.” Also, please read the risk factors and other cautionary statements described under “Part I, Item 1A. Risk Factors” in our Annual Report on Form 10-K for the year ended December 31, 2025 (the "2025 Form 10-K") and elsewhere in this Report. We assume no obligation to update any of these forward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looking statements, except as required by applicable law.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Selected Factors That Affect Our Operating Results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revenues, cash flows from operations and future growth depend substantially upon:</w:t>
      </w:r>
    </w:p>
    <w:p>
      <w:pPr>
        <w:spacing w:after="0" w:line="179"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timing and success of drilling and production activities by our operating partners;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prices and the supply and demand for oil and natural gas;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quantity of oil and natural gas production from the wells in which we participate;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changes in the fair value of the derivative instruments we use to reduce our exposure to fluctuations in the price of oil and natural gas;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our ability to continue to identify and acquire high-quality acreage and drilling opportunities;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level of our operating expenses.</w:t>
      </w:r>
    </w:p>
    <w:p>
      <w:pPr>
        <w:spacing w:after="0" w:line="17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price of oil and natural gas can vary depending on the market in which it is sold and the means of transportation used to transport the oil and natural gas to market.</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oil price differential to the NYMEX benchmark price during the three months ended March 31, 2026 and 2025 was a discount of $(2.80) per barrel and a discount of $(2.60) per barrel, respectively. Our natural gas price differential to</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average NYMEX price during the three months ended March 31, 2026 and 2025 was a discount of $(2.16) per Mcf and $(0.17) per Mcf,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Conditions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Historically, commodity prices have been volatile, and we expect that volatility to continue in the future.</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Prices for various quantities of oil and natural gas that we produce significantly impact our revenues and cash flows. The following table lists average NYMEX spot prices for oil and natural gas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4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4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Average NYMEX Prices</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6"/>
        </w:trPr>
        <w:tc>
          <w:tcPr>
            <w:tcW w:w="8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(per Bbl)</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72.74</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r>
      <w:tr>
        <w:trPr>
          <w:trHeight w:val="202"/>
        </w:trPr>
        <w:tc>
          <w:tcPr>
            <w:tcW w:w="8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(per Mcf)</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87"/>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Based on average NYMEX spot prices.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8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the average NYMEX oil pricing was $72.74 per barrel of oil, or 1% higher than the average NYMEX price per barrel for the three months ended March 31, 2025. Our settled derivatives decreased our realized oil price per barrel by $4.27 for the three months ended March 31, 2026 and decreased our realized oil price per barrel by $0.05 for the three months ended March 31, 2025. For the three months ended March 31, 2026, our average realized oil price per barrel after reflecting settled derivatives was $65.67 compared to $69.13 for the three months ended March 31, 2025.</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the average NYMEX natural gas pricing was $4.71 per Mcf, or 14% higher than the average NYMEX price per Mcf for the three months ended March 31, 2025. Our settled derivatives decreased our realized natural gas price per Mcf by $0.57 for the three months ended March 31, 2026 and decreased our realized natural gas price per Mcf by $0.01 for the three months ended March 31, 2025. For the three months ended March 31, 2026, our average realized natural gas price per Mcf after reflecting settled derivatives was $1.98 compared to $3.96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Sales (in thousands):</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Oil sales</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103,446</w:t>
            </w:r>
          </w:p>
        </w:tc>
        <w:tc>
          <w:tcPr>
            <w:tcW w:w="8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91,847</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Natural gas and related product sales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24,818</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31,084</w:t>
            </w:r>
          </w:p>
        </w:tc>
      </w:tr>
      <w:tr>
        <w:trPr>
          <w:trHeight w:val="151"/>
        </w:trPr>
        <w:tc>
          <w:tcPr>
            <w:tcW w:w="82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128,264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122,931</w:t>
            </w:r>
          </w:p>
        </w:tc>
      </w:tr>
      <w:tr>
        <w:trPr>
          <w:trHeight w:val="211"/>
        </w:trPr>
        <w:tc>
          <w:tcPr>
            <w:tcW w:w="8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Production:</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Oil (MBbl)</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w:t>
            </w:r>
          </w:p>
        </w:tc>
      </w:tr>
      <w:tr>
        <w:trPr>
          <w:trHeight w:val="160"/>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Natural gas (MMcf)</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9,738</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7,826</w:t>
            </w:r>
          </w:p>
        </w:tc>
      </w:tr>
      <w:tr>
        <w:trPr>
          <w:trHeight w:val="17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(MBoe)</w:t>
            </w:r>
            <w:r>
              <w:rPr>
                <w:rFonts w:ascii="Times New Roman" w:cs="Times New Roman" w:eastAsia="Times New Roman" w:hAnsi="Times New Roman"/>
                <w:sz w:val="14"/>
                <w:szCs w:val="14"/>
                <w:color w:val="auto"/>
                <w:vertAlign w:val="superscript"/>
              </w:rPr>
              <w:t>(1)</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w:t>
            </w: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Average Daily Production:</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Oil (Bbl)</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16,433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14,752</w:t>
            </w:r>
          </w:p>
        </w:tc>
      </w:tr>
      <w:tr>
        <w:trPr>
          <w:trHeight w:val="160"/>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Natural gas (Mcf)</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108,200</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86,960</w:t>
            </w:r>
          </w:p>
        </w:tc>
      </w:tr>
      <w:tr>
        <w:trPr>
          <w:trHeight w:val="17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(Boe)</w:t>
            </w:r>
            <w:r>
              <w:rPr>
                <w:rFonts w:ascii="Times New Roman" w:cs="Times New Roman" w:eastAsia="Times New Roman" w:hAnsi="Times New Roman"/>
                <w:sz w:val="14"/>
                <w:szCs w:val="14"/>
                <w:color w:val="auto"/>
                <w:vertAlign w:val="superscript"/>
              </w:rPr>
              <w:t>(1)</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34,467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29,245</w:t>
            </w:r>
          </w:p>
        </w:tc>
      </w:tr>
      <w:tr>
        <w:trPr>
          <w:trHeight w:val="202"/>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Average Sales Prices: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0"/>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Oil (per Bbl)</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69.94</w:t>
            </w:r>
          </w:p>
        </w:tc>
        <w:tc>
          <w:tcPr>
            <w:tcW w:w="8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69.18</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Effect of loss on settled oil derivatives on average price (per Bbl)</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Oil net of settled oil derivatives (per Bbl)</w:t>
            </w:r>
            <w:r>
              <w:rPr>
                <w:rFonts w:ascii="Times New Roman" w:cs="Times New Roman" w:eastAsia="Times New Roman" w:hAnsi="Times New Roman"/>
                <w:sz w:val="14"/>
                <w:szCs w:val="14"/>
                <w:color w:val="auto"/>
                <w:vertAlign w:val="superscript"/>
              </w:rPr>
              <w:t>(2)</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65.67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69.13</w:t>
            </w:r>
          </w:p>
        </w:tc>
      </w:tr>
      <w:tr>
        <w:trPr>
          <w:trHeight w:val="212"/>
        </w:trPr>
        <w:tc>
          <w:tcPr>
            <w:tcW w:w="8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60"/>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Natural gas sales (per Mcf)</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2.55</w:t>
            </w:r>
          </w:p>
        </w:tc>
        <w:tc>
          <w:tcPr>
            <w:tcW w:w="8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Effect of loss on settled natural gas derivatives on average price (per Mcf)</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Natural gas sales net of settled natural gas derivatives (per Mcf)</w:t>
            </w:r>
            <w:r>
              <w:rPr>
                <w:rFonts w:ascii="Times New Roman" w:cs="Times New Roman" w:eastAsia="Times New Roman" w:hAnsi="Times New Roman"/>
                <w:sz w:val="14"/>
                <w:szCs w:val="14"/>
                <w:color w:val="auto"/>
                <w:vertAlign w:val="superscript"/>
              </w:rPr>
              <w:t>(2)</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r>
      <w:tr>
        <w:trPr>
          <w:trHeight w:val="212"/>
        </w:trPr>
        <w:tc>
          <w:tcPr>
            <w:tcW w:w="8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60"/>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Realized price on a Boe basis excluding settled commodity derivatives</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41.35</w:t>
            </w:r>
          </w:p>
        </w:tc>
        <w:tc>
          <w:tcPr>
            <w:tcW w:w="8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46.71</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Effect of loss on settled commodity derivatives on average price (per Boe)</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Realized price on a Boe basis including settled commodity derivatives</w:t>
            </w:r>
            <w:r>
              <w:rPr>
                <w:rFonts w:ascii="Times New Roman" w:cs="Times New Roman" w:eastAsia="Times New Roman" w:hAnsi="Times New Roman"/>
                <w:sz w:val="14"/>
                <w:szCs w:val="14"/>
                <w:color w:val="auto"/>
                <w:vertAlign w:val="superscript"/>
              </w:rPr>
              <w:t>(2)</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37.53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46.67</w:t>
            </w:r>
          </w:p>
        </w:tc>
      </w:tr>
      <w:tr>
        <w:trPr>
          <w:trHeight w:val="202"/>
        </w:trPr>
        <w:tc>
          <w:tcPr>
            <w:tcW w:w="8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 (in thousands):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Lease operating expenses</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16,240</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Production and ad valorem taxes</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8,236</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8,368</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Depletion and accretion expense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54,979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48,445</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9,080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Costs and Expenses (per Boe):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Lease operating expenses</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9.57</w:t>
            </w:r>
          </w:p>
        </w:tc>
        <w:tc>
          <w:tcPr>
            <w:tcW w:w="80" w:type="dxa"/>
            <w:vAlign w:val="bottom"/>
          </w:tcPr>
          <w:p>
            <w:pPr>
              <w:spacing w:after="0"/>
              <w:rPr>
                <w:sz w:val="13"/>
                <w:szCs w:val="13"/>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Production and ad valorem taxes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160"/>
        </w:trPr>
        <w:tc>
          <w:tcPr>
            <w:tcW w:w="8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Depletion and accretion</w:t>
            </w:r>
          </w:p>
        </w:tc>
        <w:tc>
          <w:tcPr>
            <w:tcW w:w="96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17.72</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w:t>
            </w:r>
          </w:p>
        </w:tc>
      </w:tr>
      <w:tr>
        <w:trPr>
          <w:trHeight w:val="179"/>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r>
      <w:tr>
        <w:trPr>
          <w:trHeight w:val="212"/>
        </w:trPr>
        <w:tc>
          <w:tcPr>
            <w:tcW w:w="8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60"/>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Producing Wells at Period-End:</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245.55</w:t>
            </w: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211.63</w:t>
            </w:r>
          </w:p>
        </w:tc>
      </w:tr>
    </w:tbl>
    <w:p>
      <w:pPr>
        <w:spacing w:after="0" w:line="4" w:lineRule="exact"/>
        <w:rPr>
          <w:sz w:val="20"/>
          <w:szCs w:val="20"/>
          <w:color w:val="auto"/>
        </w:rPr>
      </w:pPr>
    </w:p>
    <w:p>
      <w:pPr>
        <w:ind w:left="260" w:hanging="241"/>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Natural gas is converted to Boe using the ratio of one barrel of oil to six Mcf of natural gas.</w:t>
      </w:r>
    </w:p>
    <w:p>
      <w:pPr>
        <w:spacing w:after="0" w:line="20" w:lineRule="exact"/>
        <w:rPr>
          <w:rFonts w:ascii="Times New Roman" w:cs="Times New Roman" w:eastAsia="Times New Roman" w:hAnsi="Times New Roman"/>
          <w:sz w:val="11"/>
          <w:szCs w:val="11"/>
          <w:color w:val="auto"/>
        </w:rPr>
      </w:pPr>
    </w:p>
    <w:p>
      <w:pPr>
        <w:jc w:val="both"/>
        <w:ind w:left="280" w:right="20" w:hanging="261"/>
        <w:spacing w:after="0" w:line="262" w:lineRule="auto"/>
        <w:tabs>
          <w:tab w:leader="none" w:pos="274"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presentation of realized prices including settled commodity derivatives is a result of including the net cash receipts from (payments on) commodity derivatives that are presented in the footnotes to our condensed consolidated financial statements.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Oil, Natural Gas and Related Product Sales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revenues vary from year to year primarily due to changes in realized commodity prices and production volumes. Our oil and natural gas sales for the three months ended March 31, 2026 increased 4% from the same period in 2025. Oil revenues for the three months ended March 31, 2026 increased by 13% compared to the same period in 2025, driven by an 11% increase in production and a 1% increase in realized prices, excluding the effect of settled derivatives. Natural gas revenues decreased by 20% for the three months ended March 31, 2026 compared to the same period in 2025, driven by a 36% decrease in realized natural gas prices, excluding the effect of settled commodity derivatives, partially offset by a 24% increase in production.</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Production from oil and gas properties increased as a result of drilling success and the acquisition of additional net revenue interests. The number of wells we participated in during the period increased from 211.63 net wells on March 31, 2025 to 245.55 net wells on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Operating Expenses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Lease operating expenses were $29.7 million ($9.57 per Boe) for the three months ended March 31, 2026, an increase of 83% from $16.2 million ($6.17 per Boe) during the same period in 2025. The increase in lease operating expenses per Boe was primarily due to increased saltwater disposal costs as a result of higher water cuts and flowback operations, surface equipment rentals, and contract labor.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and Ad Valorem Taxes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generally pay production taxes based on realized oil and natural gas sales. Production taxes were $6.1 million ($1.96 per Boe) for the three months ended March 31, 2026 compared to $6.6 million ($2.49 per Boe) during the same period in 2025. As a percentage of oil and natural gas sales, our production taxes were 5% during the three months ended March 31, 2026 and 2025.</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 valorem taxes increased by $0.3 million during the three months ended March 31, 2026 as compared to the same period in 2025, primarily due to additional wells drilled and completed and new wells acquired.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Depletion and Accretion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Depletion and accretion was $55.0 million ($17.72 per Boe) for the three months ended March 31, 2026, an increase of 13% from $48.4 million ($18.41 per Boe) during the same period in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depletion and accretion expense was primarily due to the increase in depletion expense resulting from an increase in production between the two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Unproved Properties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we recognized impairment expense of $11.2 million on unproved properties in the Permian Basin as a result of a change in operator development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components of our general and administrative expenses for the three months ended 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w:t>
            </w:r>
          </w:p>
        </w:tc>
      </w:tr>
      <w:tr>
        <w:trPr>
          <w:trHeight w:val="196"/>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22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8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87"/>
        </w:trPr>
        <w:tc>
          <w:tcPr>
            <w:tcW w:w="8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general and administrative expenses were $9.1 million ($2.93 per Boe) for the three months ended March 31, 2026, an increase of 22% from $7.5 million ($2.84 per Boe) during the same period in 2025. The increase was primarily due to increased stock-based compensation and management fee expenses during the three months ended March 31, 2026 as compared to the same period in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Gain/(Loss) on Derivatives – Commodity Derivatives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amounts reported as gain (loss) on derivatives - commodity derivatives in the condensed consolidated statements of operations for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2026, and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receipts from (payments on) commodity derivatives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7"/>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 cash receipts from (payments on) commodity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commodity derivatives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(66,444)</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(16,098)</w:t>
            </w: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Power capacity contract</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unrealized gain (loss) on commodity derivatives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(14,744)</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 (loss) on derivatives - commodity derivatives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(72,027)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(14,857)</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Interest expense was $10.3 million for the three months ended March 31, 2026 compared to $5.0 million for the three months ended March 31, 2025. The increase in interest expense during the three months ended March 31, 2026 as compared to 2025 was primarily due to the issuance of $350.0 million aggregate principal amount of 8.875% senior unsecured notes in November 2025 that was outstanding during the entirety of the three months ended March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Gain/(Loss) on Equity Investments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recorded a gain of $6.7 million for the three months ended March 31, 2026 compared to a loss of $10.0 million for the three months ended March 31, 2025 resulting from the change in fair value of common stock held by the Company during the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recorded income tax benefit of $13.6 million for the three months ended March 31, 2026 compared to income tax expense of $2.9 million for the three months ended March 31, 2025. The effective income tax rate differs from the statutory rate primarily due to the impact of certain discrete items and state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main sources of liquidity and capital resources as of the periods covered by this report have been internally generated cash flow from operations, credit facility borrowings, and the issuance of senior notes. Our primary use of capital has been for the development and acquisition of oil and natural gas properties. We continually monitor potential capital sources for opportunities to enhance liquidity or otherwise improve our financial position.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we had $350.0 million of principal debt outstanding on 8.875% senior unsecured notes and $90.0 million of debt outstanding under our senior secured revolving credit agreement. We had $314.8 million of liquidity as of March 31, 2026, consisting of $284.7 million of committed borrowing availability under the Credit Agreement and $30.1 million of cash on hand.</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 our cash on hand, cash flow from operations, senior unsecured notes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Commitments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 Dividends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paid dividends of $14.5 million, or $0.11 per share, and $14.4 million, or $0.11 per share, during the first quarter of 2026 and 2025, respectively. Any payment of future dividends will be at the discretion of the Company’s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changes in cash for the three months ended 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4"/>
                <w:szCs w:val="14"/>
                <w:color w:val="auto"/>
              </w:rPr>
              <w:t>58,348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76,091</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spacing w:after="0"/>
              <w:rPr>
                <w:sz w:val="17"/>
                <w:szCs w:val="17"/>
                <w:color w:val="auto"/>
              </w:rPr>
            </w:pPr>
          </w:p>
        </w:tc>
        <w:tc>
          <w:tcPr>
            <w:tcW w:w="1140" w:type="dxa"/>
            <w:vAlign w:val="bottom"/>
          </w:tcPr>
          <w:p>
            <w:pPr>
              <w:jc w:val="center"/>
              <w:ind w:left="534"/>
              <w:spacing w:after="0"/>
              <w:rPr>
                <w:sz w:val="20"/>
                <w:szCs w:val="20"/>
                <w:color w:val="auto"/>
              </w:rPr>
            </w:pPr>
            <w:r>
              <w:rPr>
                <w:rFonts w:ascii="Times New Roman" w:cs="Times New Roman" w:eastAsia="Times New Roman" w:hAnsi="Times New Roman"/>
                <w:sz w:val="14"/>
                <w:szCs w:val="14"/>
                <w:color w:val="auto"/>
              </w:rPr>
              <w:t>(68,647)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(99,997)</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554"/>
              <w:spacing w:after="0"/>
              <w:rPr>
                <w:sz w:val="20"/>
                <w:szCs w:val="20"/>
                <w:color w:val="auto"/>
              </w:rPr>
            </w:pPr>
            <w:r>
              <w:rPr>
                <w:rFonts w:ascii="Times New Roman" w:cs="Times New Roman" w:eastAsia="Times New Roman" w:hAnsi="Times New Roman"/>
                <w:sz w:val="14"/>
                <w:szCs w:val="14"/>
                <w:color w:val="auto"/>
              </w:rPr>
              <w:t>25,509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30,595</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4"/>
                <w:szCs w:val="14"/>
                <w:color w:val="auto"/>
              </w:rPr>
              <w:t>15,210</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6,689</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$17.7 million decrease in operating cash flows during the three months ended March 31, 2026 as compared to the same period in 2025 was primarily due to the increase in realized loss on derivatives during the three months ended March 31, 2026 as compared to the same period in 2025.</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net cash provided by operating activities included a reduction of $3.4 million and a reduction of $10.6 million for the three months ended March 31, 2026 and 2025, respectively, associated with changes in working capital items. Changes in working capital items adjust for the timing of receipts and payments of actual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our net cash used in investing activities was $68.6 million, which consisted primarily of $60.4 million of capital expenditures for oil and natural gas properties and $9.5 million of acquisitions of oil and natural gas properties, partially offset by proceeds from sale of oil and natural gas properties of $1.2 million.</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2025, our net cash used in investing activities was $100.0 million, which consisted primarily of $66.7 million of capital expenditures for oil and natural gas properties and $34.7 million of acquisitions of oil and natural gas properties.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our net cash provided by financing activities was $25.5 million, primarily due to $40.0 million of borrowings under our Credit Agreement, partially offset by $14.5 million of dividends paid on our common stock.</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2025, our net cash provided by financing activities was $30.6 million, primarily due to $45.0 million of borrowings under our Credit Agreement, partially offset by $14.4 million of dividends paid on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Granite Ridge Credit Agreement</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March 31, 2026, the Company had outstanding borrowings of $90.0 million and $0.3 million of letters of credit issued and outstanding under the Credit Agreement, resulting in availability of $284.7 million. The Credit Agreement is guaranteed by the restricted subsidiaries of Granite Ridge and is secured by a first priority mortgage and security interest in substantially all of the Company's and its restricted subsidiaries' assets.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October 24, 2022, Granite Ridge entered into a senior secured revolving credit agreement (as amended, the “Credit Agreement”) with a syndicate of banks, currently led by Bank of America, N.A., as administrative agent. The Credit Agreement has a maturity date of the earliest to occur of (A) November 5, 2029 or (B) the date that is ninety-one days prior to the stated maturity date of the unsecured senior notes issued in November 2025 if any such notes remain outstanding on such date.</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borrowing base is redetermined semiannually on or about April 1 and October 1 of each calendar year, and is subject to additional adjustments from time to time, including for asset sales, elimination or reduction of hedge positions and incurrence of other debt. As of March 31, 2026, the Company had a borrowing base of $375.0 million and elected commitments of $375.0 million.</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March 31, 2026, the Company had outstanding borrowings of $90.0 million and $0.3 million of letters of credit issued and outstanding under the Credit Agreement, resulting in availability of $284.7 million. The Credit Agreement is guaranteed by the restricted subsidiaries of Granite Ridge and is secured by a first priority mortgage and security interest in substantially all of the Company's and its restricted subsidiaries' assets.</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Borrowings under the Credit Agreement may be base rate loans or secured overnight financing rate (“SOFR”) loans. Interest is payable quarterly for base rate loans and at the end of the applicable interest period for SOFR loans. SOFR loans bear interest at SOFR plus an applicable margin ranging from 275 to 375 basis points, depending on the percentage of the borrowing base utilized. Base rate loans bear interest at a rate per annum equal to the greatest of: (i) the U.S. prime rate as publicly announced from time to time by Bank of America, N.A.; (ii) the federal funds effective rate plus 50 basis points; (iii) the adjusted SOFR rate for a one-month interest period plus 100 basis points; and (iv) 100 basis points, plus, in the case of any base rate loan, an applicable margin ranging from 175 to 275 basis points, depending on the percentage of the borrowing base utilized.</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also pays a commitment fee on unused elected commitment amounts under its facility ranging from 37.5 to 50 basis points. The Company may repay any amounts borrowed under the Credit Agreement prior to the maturity date without any premium or penalty.</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Credit Agreement contains certain financial covenants, including the maintenance of the following financial ratios:</w:t>
      </w:r>
    </w:p>
    <w:p>
      <w:pPr>
        <w:spacing w:after="0" w:line="179" w:lineRule="exact"/>
        <w:rPr>
          <w:sz w:val="20"/>
          <w:szCs w:val="20"/>
          <w:color w:val="auto"/>
        </w:rPr>
      </w:pPr>
    </w:p>
    <w:p>
      <w:pPr>
        <w:ind w:left="760" w:hanging="500"/>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leverage ratio, which is the ratio of Consolidated Total Debt to EBITDAX (each as defined in the Credit Agreement), of not greater than 3.00 to 1.00 as of the last day of any fiscal quarter, and</w:t>
      </w:r>
    </w:p>
    <w:p>
      <w:pPr>
        <w:spacing w:after="0" w:line="124"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Current Ratio (as defined in the Credit Agreement), of not less than 1.00 to 1.00 as of the last day of each fiscal quarter, and</w:t>
      </w:r>
    </w:p>
    <w:p>
      <w:pPr>
        <w:spacing w:after="0" w:line="178" w:lineRule="exact"/>
        <w:rPr>
          <w:rFonts w:ascii="Times New Roman" w:cs="Times New Roman" w:eastAsia="Times New Roman" w:hAnsi="Times New Roman"/>
          <w:sz w:val="14"/>
          <w:szCs w:val="14"/>
          <w:color w:val="auto"/>
        </w:rPr>
      </w:pPr>
    </w:p>
    <w:p>
      <w:pPr>
        <w:ind w:left="760" w:hanging="500"/>
        <w:spacing w:after="0" w:line="287"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Asset Coverage Ratio (as defined in the Credit Agreement), commencing with the fiscal quarter ending June 30, 2026, of not less than (a) for each such fiscal quarter ending prior to December 31, 2026, 1.25 to 1.00 and (b) for each such fiscal quarter ending on or after December 31, 2026, 1.50 to 1.00.</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March 31, 2026, the Company was in compliance with all covenants required by the Credit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Senior Notes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5, 2025, the Company, as issuer, completed an issuance of $350.0 million aggregate principal amount of 8.875% senior unsecured notes at 96.0% of par with stated maturity on November 5, 2029 pursuant to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spacing w:after="0" w:line="14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Interest is due to be paid at the end of each quarter.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The Company has $26.3 million included in current liabilities in the consolidated balance sheets related to quarterly principal repayments due within the next 12 months.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w:t>
      </w:r>
    </w:p>
    <w:p>
      <w:pPr>
        <w:spacing w:after="0" w:line="14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2029 Senior Notes include certain covenants, which, among other things, requires the maintenance of (i) a net leverage ratio not greater than 3.25 to 1.00 and an (ii)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Under the 2029 Senior Notes, the Company must maintain a minimum hedging requirement included within the Senior Notes for oil and natural gas based on our proved developed producing projected volumes for each commodity on a rolling 18-month basis.</w:t>
      </w:r>
    </w:p>
    <w:p>
      <w:pPr>
        <w:spacing w:after="0" w:line="14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March 31, 2026, the Company was in compliance with all financial covenants required by the Note Purchase Agreement.</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Known Contractual and Other Obligations; Planned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and Other Obligations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contractual obligations include long-term debt, cash interest expense on debt, derivative liabilities, asset retirement obligations, joint development agreements, and an annual service fee to the Manager. Since December 31, 2025, there have been no material changes in our contractual obligations, other than (i) the $40.0 million increase in long-term debt due to borrowings under the Credit Agreement and (ii) increase in contractually obligated fees under our joint development agreements.</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enters into joint development agreements that outline the terms for the joint evaluation, acquisition, exploration, development, and production of hydrocarbons from jointly owned interests subject to such agreements. These agreements designate a third party as the operator of all jointly owned interests in the applicable development area, while Granite Ridge retains the right to manage and control acquisition costs and strategy, development costs, timing and rig schedules, well design and other development operations in exchange for a fee. The aggregate minimum financial commitment amount over the noncancellable term of these joint development agreements is $15.5 million, which is due over the next two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Planned Capital Expenditures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2026, we are budgeting approximately $345 million to $385 million in total planned capital expenditures, including approximately $45 million to $55 million of acquisitions of oil and natural gas properties. Our costs incurred on oil and natural gas properties, excluding acquisitions, during the three months ended March 31, 2026 and 2025 totaled $58.3 million and $71.4 million, respectively. Our capital expenditures for the three months ended March 31, 2026 were primarily funded with cash flows from operations and borrowings under the Credit Agreement. We expect to fund planned capital expenditures with cash generated from operations and, if required, borrowings under our Credit Agreement.</w:t>
      </w:r>
    </w:p>
    <w:p>
      <w:pPr>
        <w:spacing w:after="0" w:line="1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reflects our expenditures for acquisitions of proved and unproved properties for the three months ended 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acquisition costs: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Proved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13,341</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Unproved</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21,021</w:t>
            </w:r>
          </w:p>
        </w:tc>
      </w:tr>
      <w:tr>
        <w:trPr>
          <w:trHeight w:val="187"/>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property acquisition costs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34,362</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Satisfaction of Our Cash Obligations for the Next Twelve Months</w:t>
      </w:r>
    </w:p>
    <w:p>
      <w:pPr>
        <w:spacing w:after="0" w:line="18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opportunities for acquisitions as they arise. However, there can be no assurance that any additional capital will be available to us on favorable terms or at all.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Effects of Inflation and Pricing</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results of operations and cash flows of the Company.</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management’s opinion, the more significant reporting areas impacted by management’s judgments and estimates are the choice of accounting method for oil and natural gas activities, oil and natural gas reserve estimation, revenue recognition, impairment of long-lived assets and valuation of financial derivatives.</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our critical accounting policies and procedures during the three months ended March 31, 2026. See our disclosure of critical accounting policies in “Item 7. Management’s Discussion and Analysis of Financial Condition and Results of Operations” and “Item 8. Financial Statements and Supplementary Data” of our 2025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or Adopted Accounting Pronouncements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discussion of recent accounting pronouncements, see Note 2 of the Notes to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Commodity Price Risk</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three months ended March 31, 2026, a 10% increase in average commodity prices would have decreased the fair value of our collar option and swap commodity derivatives by $39.1 million. We may incur significant</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losses in the future from our use of derivative financial instruments to the extent market prices increase and our derivatives contracts remain in place.</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March 31, 2026, our exposure to interest rate changes related primarily to the borrowings under the Credit Agreement as the 2029 Senior Notes bear a fixed interest rate. The interest we pay on these borrowings is set periodically based upon market rates. We had total indebtedness of $90.0 million outstanding under our Credit Agreement at March 31, 2026. The impact of a 100 basis point increase in interest rates on this amount of debt would result in increased annual interest expense of approximately $0.9 million.</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March 31, 2026,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2026, our disclosure controls and procedures were effective at a level of reasonable assurance.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such term is defined in Rules 13a-15(f) and 15d-15(f) of the Exchange Act) during the first quarter of 2026 that have materially affected, or are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Legal Proceedings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was not a party to any material legal proceedings during the three months ended March 31, 2026. In the future, the Company may be subject from time to time to litigation claims and governmental and regulatory proceedings arising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have been no material changes in our risk factors from those described in our 2025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share repurchase activity for each period presented:</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1"/>
          <w:szCs w:val="11"/>
          <w:b w:val="1"/>
          <w:bCs w:val="1"/>
          <w:color w:val="auto"/>
        </w:rPr>
        <w:t>Total number of shares</w:t>
      </w:r>
    </w:p>
    <w:p>
      <w:pPr>
        <w:spacing w:after="0" w:line="15" w:lineRule="exact"/>
        <w:rPr>
          <w:sz w:val="20"/>
          <w:szCs w:val="20"/>
          <w:color w:val="auto"/>
        </w:rPr>
      </w:pPr>
    </w:p>
    <w:p>
      <w:pPr>
        <w:ind w:left="4220"/>
        <w:spacing w:after="0"/>
        <w:tabs>
          <w:tab w:leader="none" w:pos="5760" w:val="left"/>
          <w:tab w:leader="none" w:pos="7420" w:val="left"/>
        </w:tabs>
        <w:rPr>
          <w:sz w:val="20"/>
          <w:szCs w:val="20"/>
          <w:color w:val="auto"/>
        </w:rPr>
      </w:pPr>
      <w:r>
        <w:rPr>
          <w:rFonts w:ascii="Times New Roman" w:cs="Times New Roman" w:eastAsia="Times New Roman" w:hAnsi="Times New Roman"/>
          <w:sz w:val="11"/>
          <w:szCs w:val="11"/>
          <w:b w:val="1"/>
          <w:bCs w:val="1"/>
          <w:color w:val="auto"/>
        </w:rPr>
        <w:t>Total number of</w:t>
      </w:r>
      <w:r>
        <w:rPr>
          <w:sz w:val="20"/>
          <w:szCs w:val="20"/>
          <w:color w:val="auto"/>
        </w:rPr>
        <w:tab/>
      </w:r>
      <w:r>
        <w:rPr>
          <w:rFonts w:ascii="Times New Roman" w:cs="Times New Roman" w:eastAsia="Times New Roman" w:hAnsi="Times New Roman"/>
          <w:sz w:val="11"/>
          <w:szCs w:val="11"/>
          <w:b w:val="1"/>
          <w:bCs w:val="1"/>
          <w:color w:val="auto"/>
        </w:rPr>
        <w:t>Average price</w:t>
      </w:r>
      <w:r>
        <w:rPr>
          <w:sz w:val="20"/>
          <w:szCs w:val="20"/>
          <w:color w:val="auto"/>
        </w:rPr>
        <w:tab/>
      </w:r>
      <w:r>
        <w:rPr>
          <w:rFonts w:ascii="Times New Roman" w:cs="Times New Roman" w:eastAsia="Times New Roman" w:hAnsi="Times New Roman"/>
          <w:sz w:val="11"/>
          <w:szCs w:val="11"/>
          <w:b w:val="1"/>
          <w:bCs w:val="1"/>
          <w:color w:val="auto"/>
        </w:rPr>
        <w:t>purchased as part of</w:t>
      </w:r>
    </w:p>
    <w:p>
      <w:pPr>
        <w:spacing w:after="0" w:line="1" w:lineRule="exact"/>
        <w:rPr>
          <w:sz w:val="20"/>
          <w:szCs w:val="20"/>
          <w:color w:val="auto"/>
        </w:rPr>
      </w:pPr>
    </w:p>
    <w:p>
      <w:pPr>
        <w:ind w:left="1740"/>
        <w:spacing w:after="0"/>
        <w:tabs>
          <w:tab w:leader="none" w:pos="4100" w:val="left"/>
          <w:tab w:leader="none" w:pos="5740" w:val="left"/>
          <w:tab w:leader="none" w:pos="7320" w:val="left"/>
        </w:tabs>
        <w:rPr>
          <w:sz w:val="20"/>
          <w:szCs w:val="20"/>
          <w:color w:val="auto"/>
        </w:rPr>
      </w:pPr>
      <w:r>
        <w:rPr>
          <w:rFonts w:ascii="Times New Roman" w:cs="Times New Roman" w:eastAsia="Times New Roman" w:hAnsi="Times New Roman"/>
          <w:sz w:val="11"/>
          <w:szCs w:val="11"/>
          <w:b w:val="1"/>
          <w:bCs w:val="1"/>
          <w:color w:val="auto"/>
        </w:rPr>
        <w:t>Period</w:t>
      </w:r>
      <w:r>
        <w:rPr>
          <w:sz w:val="20"/>
          <w:szCs w:val="20"/>
          <w:color w:val="auto"/>
        </w:rPr>
        <w:tab/>
      </w:r>
      <w:r>
        <w:rPr>
          <w:rFonts w:ascii="Times New Roman" w:cs="Times New Roman" w:eastAsia="Times New Roman" w:hAnsi="Times New Roman"/>
          <w:sz w:val="11"/>
          <w:szCs w:val="11"/>
          <w:b w:val="1"/>
          <w:bCs w:val="1"/>
          <w:color w:val="auto"/>
        </w:rPr>
        <w:t>shares purchased (1)</w:t>
      </w:r>
      <w:r>
        <w:rPr>
          <w:sz w:val="20"/>
          <w:szCs w:val="20"/>
          <w:color w:val="auto"/>
        </w:rPr>
        <w:tab/>
      </w:r>
      <w:r>
        <w:rPr>
          <w:rFonts w:ascii="Times New Roman" w:cs="Times New Roman" w:eastAsia="Times New Roman" w:hAnsi="Times New Roman"/>
          <w:sz w:val="11"/>
          <w:szCs w:val="11"/>
          <w:b w:val="1"/>
          <w:bCs w:val="1"/>
          <w:color w:val="auto"/>
        </w:rPr>
        <w:t>paid per share</w:t>
      </w:r>
      <w:r>
        <w:rPr>
          <w:sz w:val="20"/>
          <w:szCs w:val="20"/>
          <w:color w:val="auto"/>
        </w:rPr>
        <w:tab/>
      </w:r>
      <w:r>
        <w:rPr>
          <w:rFonts w:ascii="Times New Roman" w:cs="Times New Roman" w:eastAsia="Times New Roman" w:hAnsi="Times New Roman"/>
          <w:sz w:val="11"/>
          <w:szCs w:val="11"/>
          <w:b w:val="1"/>
          <w:bCs w:val="1"/>
          <w:color w:val="auto"/>
        </w:rPr>
        <w:t>publicly announced plans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Approximate dollar value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of shares that may yet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color w:val="auto"/>
        </w:rPr>
        <w:t>be purchased under</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the plans or programs</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1" w:lineRule="exact"/>
        <w:rPr>
          <w:sz w:val="20"/>
          <w:szCs w:val="20"/>
          <w:color w:val="auto"/>
        </w:rPr>
      </w:pPr>
    </w:p>
    <w:p>
      <w:pPr>
        <w:sectPr>
          <w:pgSz w:w="11900" w:h="16838" w:orient="portrait"/>
          <w:cols w:equalWidth="0" w:num="2">
            <w:col w:w="8860" w:space="720"/>
            <w:col w:w="17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2026 - January 31, 2026</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 2026 - February 28, 2026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8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 2026 -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2"/>
            <w:shd w:val="clear" w:color="auto" w:fill="CCEEFF"/>
          </w:tcPr>
          <w:p>
            <w:pPr>
              <w:ind w:left="2000"/>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w:t>
            </w:r>
          </w:p>
        </w:tc>
      </w:tr>
    </w:tbl>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Represents shares that were forfeited for payment of taxes upon vesting of previously awarded restricted stock pursuant to the Granite Ridge Resources, Inc. 2022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Defaults Upon Senior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Mine Safety Disclosures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Other Information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818"/>
        </w:trPr>
        <w:tc>
          <w:tcPr>
            <w:tcW w:w="1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Exhibits</w:t>
            </w: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7"/>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60" w:type="dxa"/>
            <w:vAlign w:val="bottom"/>
            <w:gridSpan w:val="8"/>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5"/>
        </w:trPr>
        <w:tc>
          <w:tcPr>
            <w:tcW w:w="1000" w:type="dxa"/>
            <w:vAlign w:val="bottom"/>
            <w:tcBorders>
              <w:top w:val="single" w:sz="8" w:color="auto"/>
            </w:tcBorders>
          </w:tcPr>
          <w:p>
            <w:pPr>
              <w:jc w:val="center"/>
              <w:ind w:left="309"/>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820" w:type="dxa"/>
            <w:vAlign w:val="bottom"/>
            <w:tcBorders>
              <w:top w:val="single" w:sz="8" w:color="auto"/>
            </w:tcBorders>
            <w:gridSpan w:val="10"/>
          </w:tcPr>
          <w:p>
            <w:pPr>
              <w:spacing w:after="0" w:line="155"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Amended and Restated Certificate of Incorporation of Granite Ridge Resources, Inc. (incorporated by reference to Exhibit 3.1 to the Company’s Current Report on Form 8-</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EE"/>
            </w:tcBorders>
            <w:gridSpan w:val="8"/>
          </w:tcPr>
          <w:p>
            <w:pPr>
              <w:spacing w:after="0" w:line="139"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K filed with the SEC on October 28, 2022).</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0"/>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Amended and Restated Bylaws of Granite Ridge Resources, Inc. (incorporated by reference to Exhibit 3.2 to the Company’s Current Report on Form 8-K filed with the SEC</w:t>
              </w:r>
            </w:hyperlink>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EE"/>
            </w:tcBorders>
            <w:gridSpan w:val="9"/>
          </w:tcPr>
          <w:p>
            <w:pPr>
              <w:spacing w:after="0" w:line="139"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on October 28, 2022).</w:t>
              </w:r>
            </w:hyperlink>
          </w:p>
        </w:tc>
        <w:tc>
          <w:tcPr>
            <w:tcW w:w="4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77"/>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Amendment No. 1 to the Employment Agreement, dated as of March 4, 2026, by and between Granite Ridge Resources, Inc. and Tyler Farquharson.</w:t>
            </w: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8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Amendment No.1 to the Change of Control Termination Agreement, dated as of March 4, 2026, by and between Granite Ridge Resources, Inc. and Kimberly A. Weimer.</w:t>
            </w:r>
          </w:p>
        </w:tc>
      </w:tr>
      <w:tr>
        <w:trPr>
          <w:trHeight w:val="18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31.1*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Borders>
              <w:top w:val="single" w:sz="8" w:color="0000FF"/>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Certification of the Company’s Chief Executive Officer Pursuant to Section 302 of the Sarbanes Oxley Act of 2002 (18 U.S.C. Section 7241).</w:t>
            </w:r>
          </w:p>
        </w:tc>
        <w:tc>
          <w:tcPr>
            <w:tcW w:w="1540" w:type="dxa"/>
            <w:vAlign w:val="bottom"/>
            <w:tcBorders>
              <w:top w:val="single" w:sz="8" w:color="0000FF"/>
            </w:tcBorders>
            <w:gridSpan w:val="2"/>
          </w:tcPr>
          <w:p>
            <w:pPr>
              <w:spacing w:after="0"/>
              <w:rPr>
                <w:sz w:val="15"/>
                <w:szCs w:val="15"/>
                <w:color w:val="auto"/>
              </w:rPr>
            </w:pPr>
          </w:p>
        </w:tc>
        <w:tc>
          <w:tcPr>
            <w:tcW w:w="240" w:type="dxa"/>
            <w:vAlign w:val="bottom"/>
            <w:gridSpan w:val="4"/>
          </w:tcPr>
          <w:p>
            <w:pPr>
              <w:spacing w:after="0"/>
              <w:rPr>
                <w:sz w:val="15"/>
                <w:szCs w:val="15"/>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31.2*</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Company’s Chief Financial Officer Pursuant to Section 302 of the Sarbanes Oxley Act of 2002 (18 U.S.C. Section 7241).</w:t>
            </w:r>
          </w:p>
        </w:tc>
        <w:tc>
          <w:tcPr>
            <w:tcW w:w="1820" w:type="dxa"/>
            <w:vAlign w:val="bottom"/>
            <w:gridSpan w:val="7"/>
          </w:tcPr>
          <w:p>
            <w:pPr>
              <w:spacing w:after="0"/>
              <w:rPr>
                <w:sz w:val="23"/>
                <w:szCs w:val="23"/>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32.1*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Certification of the Company’s Chief Executive Officer and Chief Financial Officer Pursuant to Section 906 of the Sarbanes Oxley Act of 2002 (18 U.S.C. Section 1350).</w:t>
            </w:r>
          </w:p>
        </w:tc>
      </w:tr>
      <w:tr>
        <w:trPr>
          <w:trHeight w:val="298"/>
        </w:trPr>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101.INS*</w:t>
            </w:r>
          </w:p>
        </w:tc>
        <w:tc>
          <w:tcPr>
            <w:tcW w:w="20" w:type="dxa"/>
            <w:vAlign w:val="bottom"/>
          </w:tcPr>
          <w:p>
            <w:pPr>
              <w:spacing w:after="0"/>
              <w:rPr>
                <w:sz w:val="24"/>
                <w:szCs w:val="24"/>
                <w:color w:val="auto"/>
              </w:rPr>
            </w:pPr>
          </w:p>
        </w:tc>
        <w:tc>
          <w:tcPr>
            <w:tcW w:w="96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200" w:type="dxa"/>
            <w:vAlign w:val="bottom"/>
            <w:gridSpan w:val="3"/>
          </w:tcPr>
          <w:p>
            <w:pPr>
              <w:spacing w:after="0"/>
              <w:rPr>
                <w:sz w:val="24"/>
                <w:szCs w:val="24"/>
                <w:color w:val="auto"/>
              </w:rPr>
            </w:pPr>
          </w:p>
        </w:tc>
      </w:tr>
      <w:tr>
        <w:trPr>
          <w:trHeight w:val="202"/>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2"/>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2"/>
        </w:trPr>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Document</w:t>
            </w:r>
          </w:p>
        </w:tc>
      </w:tr>
      <w:tr>
        <w:trPr>
          <w:trHeight w:val="202"/>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7"/>
                <w:szCs w:val="17"/>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2"/>
        </w:trPr>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7"/>
                <w:szCs w:val="17"/>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02"/>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104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2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8460" w:type="dxa"/>
            <w:vAlign w:val="bottom"/>
            <w:gridSpan w:val="3"/>
          </w:tcPr>
          <w:p>
            <w:pPr>
              <w:ind w:left="2100"/>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tc>
      </w:tr>
      <w:tr>
        <w:trPr>
          <w:trHeight w:val="63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May 7,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TYLER S. FARQUHARSON</w:t>
            </w:r>
          </w:p>
        </w:tc>
      </w:tr>
      <w:tr>
        <w:trPr>
          <w:trHeight w:val="187"/>
        </w:trPr>
        <w:tc>
          <w:tcPr>
            <w:tcW w:w="2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Tyler S. Farquharson</w:t>
            </w:r>
          </w:p>
        </w:tc>
      </w:tr>
      <w:tr>
        <w:trPr>
          <w:trHeight w:val="202"/>
        </w:trPr>
        <w:tc>
          <w:tcPr>
            <w:tcW w:w="28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63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May 7,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R. KYLE KETTLER</w:t>
            </w:r>
          </w:p>
        </w:tc>
      </w:tr>
      <w:tr>
        <w:trPr>
          <w:trHeight w:val="187"/>
        </w:trPr>
        <w:tc>
          <w:tcPr>
            <w:tcW w:w="2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 Kyle Kettler</w:t>
            </w:r>
          </w:p>
        </w:tc>
      </w:tr>
      <w:tr>
        <w:trPr>
          <w:trHeight w:val="202"/>
        </w:trPr>
        <w:tc>
          <w:tcPr>
            <w:tcW w:w="28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63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May 7,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KIMBERLY A. WEIMER</w:t>
            </w:r>
          </w:p>
        </w:tc>
      </w:tr>
      <w:tr>
        <w:trPr>
          <w:trHeight w:val="187"/>
        </w:trPr>
        <w:tc>
          <w:tcPr>
            <w:tcW w:w="2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Kimberly A. Weimer</w:t>
            </w:r>
          </w:p>
        </w:tc>
      </w:tr>
      <w:tr>
        <w:trPr>
          <w:trHeight w:val="202"/>
        </w:trPr>
        <w:tc>
          <w:tcPr>
            <w:tcW w:w="28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125" w:right="319" w:bottom="1440"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Tyler S. Farquharson, certify that:</w:t>
      </w:r>
    </w:p>
    <w:p>
      <w:pPr>
        <w:spacing w:after="0" w:line="179" w:lineRule="exact"/>
        <w:rPr>
          <w:sz w:val="20"/>
          <w:szCs w:val="20"/>
          <w:color w:val="auto"/>
        </w:rPr>
      </w:pPr>
    </w:p>
    <w:p>
      <w:pPr>
        <w:ind w:left="520" w:hanging="515"/>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Granite Ridge Resources,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460"/>
        <w:spacing w:after="0"/>
        <w:tabs>
          <w:tab w:leader="none" w:pos="5180" w:val="left"/>
          <w:tab w:leader="none" w:pos="6420" w:val="left"/>
        </w:tabs>
        <w:rPr>
          <w:sz w:val="20"/>
          <w:szCs w:val="20"/>
          <w:color w:val="auto"/>
        </w:rPr>
      </w:pPr>
      <w:r>
        <w:rPr>
          <w:rFonts w:ascii="Times New Roman" w:cs="Times New Roman" w:eastAsia="Times New Roman" w:hAnsi="Times New Roman"/>
          <w:sz w:val="14"/>
          <w:szCs w:val="14"/>
          <w:color w:val="auto"/>
        </w:rPr>
        <w:t>Dated: May 7, 2026</w:t>
      </w:r>
      <w:r>
        <w:rPr>
          <w:sz w:val="20"/>
          <w:szCs w:val="20"/>
          <w:color w:val="auto"/>
        </w:rPr>
        <w:tab/>
      </w:r>
      <w:r>
        <w:rPr>
          <w:rFonts w:ascii="Times New Roman" w:cs="Times New Roman" w:eastAsia="Times New Roman" w:hAnsi="Times New Roman"/>
          <w:sz w:val="16"/>
          <w:szCs w:val="16"/>
          <w:color w:val="auto"/>
        </w:rPr>
        <w:t>By: /s/</w:t>
      </w:r>
      <w:r>
        <w:rPr>
          <w:sz w:val="20"/>
          <w:szCs w:val="20"/>
          <w:color w:val="auto"/>
        </w:rPr>
        <w:tab/>
      </w:r>
      <w:r>
        <w:rPr>
          <w:rFonts w:ascii="Times New Roman" w:cs="Times New Roman" w:eastAsia="Times New Roman" w:hAnsi="Times New Roman"/>
          <w:sz w:val="14"/>
          <w:szCs w:val="14"/>
          <w:color w:val="auto"/>
        </w:rPr>
        <w:t>TYLER S.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22860</wp:posOffset>
            </wp:positionV>
            <wp:extent cx="38671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3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color w:val="auto"/>
        </w:rPr>
        <w:t>Tyler S. Farquharson</w:t>
      </w:r>
    </w:p>
    <w:p>
      <w:pPr>
        <w:spacing w:after="0" w:line="3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ectPr>
          <w:pgSz w:w="11900" w:h="16838" w:orient="portrait"/>
          <w:cols w:equalWidth="0" w:num="1">
            <w:col w:w="11280"/>
          </w:cols>
          <w:pgMar w:left="300" w:top="929"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 Kyle Kettler, certify that:</w:t>
      </w:r>
    </w:p>
    <w:p>
      <w:pPr>
        <w:spacing w:after="0" w:line="179"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Granite Ridge Resources,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460"/>
        <w:spacing w:after="0"/>
        <w:tabs>
          <w:tab w:leader="none" w:pos="5180" w:val="left"/>
          <w:tab w:leader="none" w:pos="6420" w:val="left"/>
        </w:tabs>
        <w:rPr>
          <w:sz w:val="20"/>
          <w:szCs w:val="20"/>
          <w:color w:val="auto"/>
        </w:rPr>
      </w:pPr>
      <w:r>
        <w:rPr>
          <w:rFonts w:ascii="Times New Roman" w:cs="Times New Roman" w:eastAsia="Times New Roman" w:hAnsi="Times New Roman"/>
          <w:sz w:val="14"/>
          <w:szCs w:val="14"/>
          <w:color w:val="auto"/>
        </w:rPr>
        <w:t>Dated: May 7, 2026</w:t>
      </w:r>
      <w:r>
        <w:rPr>
          <w:sz w:val="20"/>
          <w:szCs w:val="20"/>
          <w:color w:val="auto"/>
        </w:rPr>
        <w:tab/>
      </w:r>
      <w:r>
        <w:rPr>
          <w:rFonts w:ascii="Times New Roman" w:cs="Times New Roman" w:eastAsia="Times New Roman" w:hAnsi="Times New Roman"/>
          <w:sz w:val="16"/>
          <w:szCs w:val="16"/>
          <w:color w:val="auto"/>
        </w:rPr>
        <w:t>By: /s/</w:t>
      </w:r>
      <w:r>
        <w:rPr>
          <w:sz w:val="20"/>
          <w:szCs w:val="20"/>
          <w:color w:val="auto"/>
        </w:rPr>
        <w:tab/>
      </w:r>
      <w:r>
        <w:rPr>
          <w:rFonts w:ascii="Times New Roman" w:cs="Times New Roman" w:eastAsia="Times New Roman" w:hAnsi="Times New Roman"/>
          <w:sz w:val="14"/>
          <w:szCs w:val="14"/>
          <w:color w:val="auto"/>
        </w:rPr>
        <w:t>R. KYLE KETTLER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22860</wp:posOffset>
            </wp:positionV>
            <wp:extent cx="38671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3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color w:val="auto"/>
        </w:rPr>
        <w:t>R. Kyle Kettler</w:t>
      </w:r>
    </w:p>
    <w:p>
      <w:pPr>
        <w:spacing w:after="0" w:line="3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ectPr>
          <w:pgSz w:w="11900" w:h="16838" w:orient="portrait"/>
          <w:cols w:equalWidth="0" w:num="1">
            <w:col w:w="11280"/>
          </w:cols>
          <w:pgMar w:left="300" w:top="929"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Granite Ridge Resources, Inc., (the “Company”) for the period ended March 31, 2026,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spacing w:after="0" w:line="136" w:lineRule="exact"/>
        <w:rPr>
          <w:sz w:val="20"/>
          <w:szCs w:val="20"/>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Dated: May 7, 2026</w:t>
            </w:r>
          </w:p>
        </w:tc>
        <w:tc>
          <w:tcPr>
            <w:tcW w:w="260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TYLER S. FARQUHARSON</w:t>
            </w:r>
          </w:p>
        </w:tc>
      </w:tr>
      <w:tr>
        <w:trPr>
          <w:trHeight w:val="187"/>
        </w:trPr>
        <w:tc>
          <w:tcPr>
            <w:tcW w:w="29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Tyler S. Farquharson</w:t>
            </w:r>
          </w:p>
        </w:tc>
      </w:tr>
      <w:tr>
        <w:trPr>
          <w:trHeight w:val="202"/>
        </w:trPr>
        <w:tc>
          <w:tcPr>
            <w:tcW w:w="29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419"/>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Dated: May 7, 2026</w:t>
            </w:r>
          </w:p>
        </w:tc>
        <w:tc>
          <w:tcPr>
            <w:tcW w:w="260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R. KYLE KETTLER</w:t>
            </w:r>
          </w:p>
        </w:tc>
      </w:tr>
      <w:tr>
        <w:trPr>
          <w:trHeight w:val="187"/>
        </w:trPr>
        <w:tc>
          <w:tcPr>
            <w:tcW w:w="29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 Kyle Kettler</w:t>
            </w:r>
          </w:p>
        </w:tc>
      </w:tr>
      <w:tr>
        <w:trPr>
          <w:trHeight w:val="202"/>
        </w:trPr>
        <w:tc>
          <w:tcPr>
            <w:tcW w:w="29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lvl w:ilvl="1">
      <w:lvlJc w:val="left"/>
      <w:lvlText w:val="(%2)"/>
      <w:numFmt w:val="decimal"/>
      <w:start w:val="2"/>
    </w:lvl>
  </w:abstractNum>
  <w:abstractNum w:abstractNumId="7">
    <w:nsid w:val="66EF438D"/>
    <w:multiLevelType w:val="hybridMultilevel"/>
    <w:lvl w:ilvl="0">
      <w:lvlJc w:val="left"/>
      <w:lvlText w:val="%1."/>
      <w:numFmt w:val="decimal"/>
      <w:start w:val="7"/>
    </w:lvl>
    <w:lvl w:ilvl="1">
      <w:lvlJc w:val="left"/>
      <w:lvlText w:val="%2"/>
      <w:numFmt w:val="decimal"/>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0" Type="http://schemas.openxmlformats.org/officeDocument/2006/relationships/hyperlink" Target="https://www.sec.gov/Archives/edgar/data/1928446/000110465922112452/tm2228430d2_ex3-1.htm" TargetMode="External"/><Relationship Id="rId61" Type="http://schemas.openxmlformats.org/officeDocument/2006/relationships/hyperlink" Target="https://www.sec.gov/Archives/edgar/data/1928446/000110465922112452/tm2228430d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2026-05-07T16:34:49Z</dcterms:created>
  <dcterms:modified xsi:type="dcterms:W3CDTF">2026-05-07T16:34:49Z</dcterms:modified>
</cp:coreProperties>
</file>