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September 30, 2023</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 to _______</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001-41537</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GRANITE RIDGE RESOURCES, INC.</w:t>
      </w:r>
    </w:p>
    <w:p>
      <w:pPr>
        <w:pStyle w:val="TextBody"/>
        <w:bidi w:val="0"/>
        <w:spacing w:lineRule="auto" w:line="288" w:before="0" w:after="0"/>
        <w:jc w:val="center"/>
        <w:rPr/>
      </w:pPr>
      <w:r>
        <w:rPr>
          <w:rFonts w:ascii="Times New Roman;sans-serif" w:hAnsi="Times New Roman;sans-serif"/>
          <w:b w:val="false"/>
          <w:color w:val="000000"/>
          <w:sz w:val="16"/>
        </w:rPr>
        <w:t xml:space="preserve">( </w:t>
      </w:r>
      <w:r>
        <w:rPr>
          <w:rFonts w:ascii="Times New Roman;sans-serif" w:hAnsi="Times New Roman;sans-serif"/>
          <w:b w:val="false"/>
          <w:i/>
          <w:color w:val="000000"/>
          <w:sz w:val="16"/>
        </w:rPr>
        <w:t xml:space="preserve">Exact Name of Registrant as Specified in Its Charter </w:t>
      </w:r>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tbl>
      <w:tblPr>
        <w:tblW w:w="6088" w:type="dxa"/>
        <w:jc w:val="center"/>
        <w:tblInd w:w="0" w:type="dxa"/>
        <w:tblLayout w:type="fixed"/>
        <w:tblCellMar>
          <w:top w:w="28" w:type="dxa"/>
          <w:left w:w="28" w:type="dxa"/>
          <w:bottom w:w="28" w:type="dxa"/>
          <w:right w:w="28" w:type="dxa"/>
        </w:tblCellMar>
      </w:tblPr>
      <w:tblGrid>
        <w:gridCol w:w="809"/>
        <w:gridCol w:w="711"/>
        <w:gridCol w:w="715"/>
        <w:gridCol w:w="697"/>
        <w:gridCol w:w="697"/>
        <w:gridCol w:w="705"/>
        <w:gridCol w:w="511"/>
        <w:gridCol w:w="511"/>
        <w:gridCol w:w="732"/>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1311</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88-2227812</w:t>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(Primary Standard Industrial</w:t>
              <w:br/>
              <w:t>Classification Code Number)</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Number)</w:t>
            </w:r>
          </w:p>
        </w:tc>
      </w:tr>
    </w:tbl>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5217 McKinney Ave, Suite 400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Dallas, TX 75205</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(214) 396-2850</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48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24"/>
        <w:gridCol w:w="424"/>
        <w:gridCol w:w="42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GRNT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1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At November 6, 2023, there were 133,002,984 shares of our common stock, par value $0.0001,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management or persons acting on our behalf may make forward-looking statements to inform existing and potential security holders about our company. All statements other than statements of historical facts included in this report, including, without limitation, statements regarding our financial position,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inherent risks and uncertainties, and important factors (many of which are beyond our company’s control) that could cause actual results to differ materially from those set forth in the forward-looking statements, including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current or future commodity prices and interest rates;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supply chain disruptions;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infrastructure constraints and related factors affecting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acquire additional development opportunities and potential or pending acquisition transactions, as well as the effects of such acquisitions on our company’s cash position and levels of indebtedness;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our reserves estimates or the value thereof;</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operational risks including, but not limited to, the pace of drilling and completions activity on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markets in which Granite Ridge competes;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geopolitical risk and changes in applicable laws, legislation, or regulations, including those relating to environmental matters;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cyber-related risks;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fact that reserve estimates depend on many assumptions that may turn out to be inaccurate and that any material inaccuracies in reserve estimates or underlying assumptions will materially affect the quantities and present value of our reserves;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limited liquidity and trading of Granite Ridge’s securities;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acts of war, terrorism or uncertainty regarding the effects and duration of global hostilities, including the Israel-Gaza conflict, the Russia-Ukraine war, and any associated armed conflicts or related sanctions which may disrupt commodity prices and create instability in the financial markets;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market conditions and global, regulatory, technical, and economic factors beyond Granite Ridge’s control, including the potential adverse effects of the COVID-19 pandemic, or another major disease, affecting capital markets, general economic conditions, global supply chains and Granite Ridge’s business and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increasing regulatory and investor emphasis on, and attention to, environmental, social, and governance matters;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establish and maintain effective internal control over financial reporting, including our ability to remediate the existing material weaknesses in our internal controls;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factors discussed in our Annual Report on Form 10-K for the year ended December 31, 2022 under “Risk Factors,” as updated by any subsequent Forms 10-Q, which we file with the United States Securities and Exchange Commission (“SEC”).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Accordingly, results actually achieved may differ materially from expected results described in these statements. Forward-looking statements speak only as of the date they are made.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statements in “Item 1A. Risk Factors” of our Annual Report on Form 10-K for the year ended December 31, 2022 and other sections of this report, which describe factors that could cause our actual results to differ from those set forth in the forward-looking statements. Our company does not undertake, and specifically disclaims, any obligation to update any forward-looking statements to reflect events or circumstances occurring after the date of such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urged not to place undue reliance on these forward-looking statements, which speak only as of the date of this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 and cash flows. If one or more of these risks or uncertainties materialize, or if the underlying assumptions prove incorrect, our actual results may vary materially from those expected or projected.</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6"/>
        <w:gridCol w:w="938"/>
        <w:gridCol w:w="938"/>
        <w:gridCol w:w="2205"/>
        <w:gridCol w:w="2174"/>
        <w:gridCol w:w="2189"/>
        <w:gridCol w:w="202"/>
        <w:gridCol w:w="202"/>
        <w:gridCol w:w="291"/>
      </w:tblGrid>
      <w:tr>
        <w:trPr/>
        <w:tc>
          <w:tcPr>
            <w:tcW w:w="10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7">
              <w:r>
                <w:rPr>
                  <w:rStyle w:val="InternetLink"/>
                  <w:rFonts w:ascii="Times New Roman;sans-serif" w:hAnsi="Times New Roman;sans-serif"/>
                  <w:b w:val="false"/>
                  <w:color w:val="0000FF"/>
                  <w:sz w:val="20"/>
                  <w:u w:val="single"/>
                </w:rPr>
                <w:t>CAUTIONARY NOTE REGARDING FORWARD-LOOKING STATEMENTS</w:t>
              </w:r>
            </w:hyperlink>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ed7cee354d0a46f995263469ca977ca7_7">
              <w:r>
                <w:rPr>
                  <w:rStyle w:val="InternetLink"/>
                  <w:rFonts w:ascii="Times New Roman;sans-serif" w:hAnsi="Times New Roman;sans-serif"/>
                  <w:b w:val="false"/>
                  <w:strike w:val="false"/>
                  <w:dstrike w:val="false"/>
                  <w:color w:val="000000"/>
                  <w:sz w:val="20"/>
                  <w:u w:val="none"/>
                  <w:effect w:val="none"/>
                </w:rPr>
                <w:t>2</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3">
              <w:r>
                <w:rPr>
                  <w:rStyle w:val="InternetLink"/>
                  <w:rFonts w:ascii="Times New Roman;sans-serif" w:hAnsi="Times New Roman;sans-serif"/>
                  <w:b w:val="false"/>
                  <w:color w:val="0000FF"/>
                  <w:sz w:val="20"/>
                  <w:u w:val="single"/>
                </w:rPr>
                <w:t>PART I – FINANCIAL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3">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6">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6">
              <w:r>
                <w:rPr>
                  <w:rStyle w:val="InternetLink"/>
                  <w:rFonts w:ascii="Times New Roman;sans-serif" w:hAnsi="Times New Roman;sans-serif"/>
                  <w:b w:val="false"/>
                  <w:color w:val="0000FF"/>
                  <w:sz w:val="20"/>
                  <w:u w:val="single"/>
                </w:rPr>
                <w:t>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6">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ed7cee354d0a46f995263469ca977ca7_19">
              <w:r>
                <w:rPr>
                  <w:rStyle w:val="InternetLink"/>
                  <w:rFonts w:ascii="Times New Roman;sans-serif" w:hAnsi="Times New Roman;sans-serif"/>
                  <w:b w:val="false"/>
                  <w:color w:val="0000FF"/>
                  <w:sz w:val="20"/>
                  <w:u w:val="single"/>
                </w:rPr>
                <w:t>Condensed Consolidated Balance Sheets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9">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ed7cee354d0a46f995263469ca977ca7_22">
              <w:r>
                <w:rPr>
                  <w:rStyle w:val="InternetLink"/>
                  <w:rFonts w:ascii="Times New Roman;sans-serif" w:hAnsi="Times New Roman;sans-serif"/>
                  <w:b w:val="false"/>
                  <w:color w:val="0000FF"/>
                  <w:sz w:val="20"/>
                  <w:u w:val="single"/>
                </w:rPr>
                <w:t>Condensed Consolidated Statements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22">
              <w:r>
                <w:rPr>
                  <w:rStyle w:val="InternetLink"/>
                  <w:rFonts w:ascii="Times New Roman;sans-serif" w:hAnsi="Times New Roman;sans-serif"/>
                  <w:b w:val="false"/>
                  <w:strike w:val="false"/>
                  <w:dstrike w:val="false"/>
                  <w:color w:val="000000"/>
                  <w:sz w:val="20"/>
                  <w:u w:val="none"/>
                  <w:effect w:val="none"/>
                </w:rPr>
                <w:t>6</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ed7cee354d0a46f995263469ca977ca7_25">
              <w:r>
                <w:rPr>
                  <w:rStyle w:val="InternetLink"/>
                  <w:rFonts w:ascii="Times New Roman;sans-serif" w:hAnsi="Times New Roman;sans-serif"/>
                  <w:b w:val="false"/>
                  <w:color w:val="0000FF"/>
                  <w:sz w:val="20"/>
                  <w:u w:val="single"/>
                </w:rPr>
                <w:t>Condensed Consolidated Statements of Changes in Equity</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25">
              <w:r>
                <w:rPr>
                  <w:rStyle w:val="InternetLink"/>
                  <w:rFonts w:ascii="Times New Roman;sans-serif" w:hAnsi="Times New Roman;sans-serif"/>
                  <w:b w:val="false"/>
                  <w:strike w:val="false"/>
                  <w:dstrike w:val="false"/>
                  <w:color w:val="000000"/>
                  <w:sz w:val="20"/>
                  <w:u w:val="none"/>
                  <w:effect w:val="none"/>
                </w:rPr>
                <w:t>7</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ed7cee354d0a46f995263469ca977ca7_28">
              <w:r>
                <w:rPr>
                  <w:rStyle w:val="InternetLink"/>
                  <w:rFonts w:ascii="Times New Roman;sans-serif" w:hAnsi="Times New Roman;sans-serif"/>
                  <w:b w:val="false"/>
                  <w:color w:val="0000FF"/>
                  <w:sz w:val="20"/>
                  <w:u w:val="single"/>
                </w:rPr>
                <w:t>Condensed Consolidated Statements of Cash Flows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28">
              <w:r>
                <w:rPr>
                  <w:rStyle w:val="InternetLink"/>
                  <w:rFonts w:ascii="Times New Roman;sans-serif" w:hAnsi="Times New Roman;sans-serif"/>
                  <w:b w:val="false"/>
                  <w:strike w:val="false"/>
                  <w:dstrike w:val="false"/>
                  <w:color w:val="000000"/>
                  <w:sz w:val="20"/>
                  <w:u w:val="none"/>
                  <w:effect w:val="none"/>
                </w:rPr>
                <w:t>9</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ed7cee354d0a46f995263469ca977ca7_31">
              <w:r>
                <w:rPr>
                  <w:rStyle w:val="InternetLink"/>
                  <w:rFonts w:ascii="Times New Roman;sans-serif" w:hAnsi="Times New Roman;sans-serif"/>
                  <w:b w:val="false"/>
                  <w:color w:val="0000FF"/>
                  <w:sz w:val="20"/>
                  <w:u w:val="single"/>
                </w:rPr>
                <w:t>Notes to Condensed Consolidated 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31">
              <w:r>
                <w:rPr>
                  <w:rStyle w:val="InternetLink"/>
                  <w:rFonts w:ascii="Times New Roman;sans-serif" w:hAnsi="Times New Roman;sans-serif"/>
                  <w:b w:val="false"/>
                  <w:strike w:val="false"/>
                  <w:dstrike w:val="false"/>
                  <w:color w:val="000000"/>
                  <w:sz w:val="20"/>
                  <w:u w:val="none"/>
                  <w:effect w:val="none"/>
                </w:rPr>
                <w:t>10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76">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ed7cee354d0a46f995263469ca977ca7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76">
              <w:r>
                <w:rPr>
                  <w:rStyle w:val="InternetLink"/>
                  <w:rFonts w:ascii="Times New Roman;sans-serif" w:hAnsi="Times New Roman;sans-serif"/>
                  <w:b w:val="false"/>
                  <w:strike w:val="false"/>
                  <w:dstrike w:val="false"/>
                  <w:color w:val="000000"/>
                  <w:sz w:val="20"/>
                  <w:u w:val="none"/>
                  <w:effect w:val="none"/>
                </w:rPr>
                <w:t>28</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09">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09">
              <w:r>
                <w:rPr>
                  <w:rStyle w:val="InternetLink"/>
                  <w:rFonts w:ascii="Times New Roman;sans-serif" w:hAnsi="Times New Roman;sans-serif"/>
                  <w:b w:val="false"/>
                  <w:color w:val="0000FF"/>
                  <w:sz w:val="20"/>
                  <w:u w:val="single"/>
                </w:rPr>
                <w:t>Quantitative and Qualitative Disclosure about Market Risk</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09">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12">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12">
              <w:r>
                <w:rPr>
                  <w:rStyle w:val="InternetLink"/>
                  <w:rFonts w:ascii="Times New Roman;sans-serif" w:hAnsi="Times New Roman;sans-serif"/>
                  <w:b w:val="false"/>
                  <w:color w:val="0000FF"/>
                  <w:sz w:val="20"/>
                  <w:u w:val="single"/>
                </w:rPr>
                <w:t>Controls and Procedures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12">
              <w:r>
                <w:rPr>
                  <w:rStyle w:val="InternetLink"/>
                  <w:rFonts w:ascii="Times New Roman;sans-serif" w:hAnsi="Times New Roman;sans-serif"/>
                  <w:b w:val="false"/>
                  <w:strike w:val="false"/>
                  <w:dstrike w:val="false"/>
                  <w:color w:val="000000"/>
                  <w:sz w:val="20"/>
                  <w:u w:val="none"/>
                  <w:effect w:val="none"/>
                </w:rPr>
                <w:t>40</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15">
              <w:r>
                <w:rPr>
                  <w:rStyle w:val="InternetLink"/>
                  <w:rFonts w:ascii="Times New Roman;sans-serif" w:hAnsi="Times New Roman;sans-serif"/>
                  <w:b w:val="false"/>
                  <w:color w:val="0000FF"/>
                  <w:sz w:val="20"/>
                  <w:u w:val="single"/>
                </w:rPr>
                <w:t>PART II – 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15">
              <w:r>
                <w:rPr>
                  <w:rStyle w:val="InternetLink"/>
                  <w:rFonts w:ascii="Times New Roman;sans-serif" w:hAnsi="Times New Roman;sans-serif"/>
                  <w:b w:val="false"/>
                  <w:strike w:val="false"/>
                  <w:dstrike w:val="false"/>
                  <w:color w:val="000000"/>
                  <w:sz w:val="20"/>
                  <w:u w:val="none"/>
                  <w:effect w:val="none"/>
                </w:rPr>
                <w:t>41</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18">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18">
              <w:r>
                <w:rPr>
                  <w:rStyle w:val="InternetLink"/>
                  <w:rFonts w:ascii="Times New Roman;sans-serif" w:hAnsi="Times New Roman;sans-serif"/>
                  <w:b w:val="false"/>
                  <w:color w:val="0000FF"/>
                  <w:sz w:val="20"/>
                  <w:u w:val="single"/>
                </w:rPr>
                <w:t>Legal Proceedings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18">
              <w:r>
                <w:rPr>
                  <w:rStyle w:val="InternetLink"/>
                  <w:rFonts w:ascii="Times New Roman;sans-serif" w:hAnsi="Times New Roman;sans-serif"/>
                  <w:b w:val="false"/>
                  <w:strike w:val="false"/>
                  <w:dstrike w:val="false"/>
                  <w:color w:val="000000"/>
                  <w:sz w:val="20"/>
                  <w:u w:val="none"/>
                  <w:effect w:val="none"/>
                </w:rPr>
                <w:t>41</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21">
              <w:r>
                <w:rPr>
                  <w:rStyle w:val="InternetLink"/>
                  <w:rFonts w:ascii="Times New Roman;sans-serif" w:hAnsi="Times New Roman;sans-serif"/>
                  <w:b w:val="false"/>
                  <w:color w:val="0000FF"/>
                  <w:sz w:val="20"/>
                  <w:u w:val="single"/>
                </w:rPr>
                <w:t>Item 1A.</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21">
              <w:r>
                <w:rPr>
                  <w:rStyle w:val="InternetLink"/>
                  <w:rFonts w:ascii="Times New Roman;sans-serif" w:hAnsi="Times New Roman;sans-serif"/>
                  <w:b w:val="false"/>
                  <w:color w:val="0000FF"/>
                  <w:sz w:val="20"/>
                  <w:u w:val="single"/>
                </w:rPr>
                <w:t>Risk Factors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21">
              <w:r>
                <w:rPr>
                  <w:rStyle w:val="InternetLink"/>
                  <w:rFonts w:ascii="Times New Roman;sans-serif" w:hAnsi="Times New Roman;sans-serif"/>
                  <w:b w:val="false"/>
                  <w:strike w:val="false"/>
                  <w:dstrike w:val="false"/>
                  <w:color w:val="000000"/>
                  <w:sz w:val="20"/>
                  <w:u w:val="none"/>
                  <w:effect w:val="none"/>
                </w:rPr>
                <w:t>41</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24">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24">
              <w:r>
                <w:rPr>
                  <w:rStyle w:val="InternetLink"/>
                  <w:rFonts w:ascii="Times New Roman;sans-serif" w:hAnsi="Times New Roman;sans-serif"/>
                  <w:b w:val="false"/>
                  <w:color w:val="0000FF"/>
                  <w:sz w:val="20"/>
                  <w:u w:val="single"/>
                </w:rPr>
                <w:t>Unregistered Sales of Equity Securities and Use of Proceeds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24">
              <w:r>
                <w:rPr>
                  <w:rStyle w:val="InternetLink"/>
                  <w:rFonts w:ascii="Times New Roman;sans-serif" w:hAnsi="Times New Roman;sans-serif"/>
                  <w:b w:val="false"/>
                  <w:strike w:val="false"/>
                  <w:dstrike w:val="false"/>
                  <w:color w:val="000000"/>
                  <w:sz w:val="20"/>
                  <w:u w:val="none"/>
                  <w:effect w:val="none"/>
                </w:rPr>
                <w:t>41</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27">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27">
              <w:r>
                <w:rPr>
                  <w:rStyle w:val="InternetLink"/>
                  <w:rFonts w:ascii="Times New Roman;sans-serif" w:hAnsi="Times New Roman;sans-serif"/>
                  <w:b w:val="false"/>
                  <w:color w:val="0000FF"/>
                  <w:sz w:val="20"/>
                  <w:u w:val="single"/>
                </w:rPr>
                <w:t>Defaults Upon Senior Securities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27">
              <w:r>
                <w:rPr>
                  <w:rStyle w:val="InternetLink"/>
                  <w:rFonts w:ascii="Times New Roman;sans-serif" w:hAnsi="Times New Roman;sans-serif"/>
                  <w:b w:val="false"/>
                  <w:strike w:val="false"/>
                  <w:dstrike w:val="false"/>
                  <w:color w:val="000000"/>
                  <w:sz w:val="20"/>
                  <w:u w:val="none"/>
                  <w:effect w:val="none"/>
                </w:rPr>
                <w:t>42</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30">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30">
              <w:r>
                <w:rPr>
                  <w:rStyle w:val="InternetLink"/>
                  <w:rFonts w:ascii="Times New Roman;sans-serif" w:hAnsi="Times New Roman;sans-serif"/>
                  <w:b w:val="false"/>
                  <w:color w:val="0000FF"/>
                  <w:sz w:val="20"/>
                  <w:u w:val="single"/>
                </w:rPr>
                <w:t>Mine Safety Disclosures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30">
              <w:r>
                <w:rPr>
                  <w:rStyle w:val="InternetLink"/>
                  <w:rFonts w:ascii="Times New Roman;sans-serif" w:hAnsi="Times New Roman;sans-serif"/>
                  <w:b w:val="false"/>
                  <w:strike w:val="false"/>
                  <w:dstrike w:val="false"/>
                  <w:color w:val="000000"/>
                  <w:sz w:val="20"/>
                  <w:u w:val="none"/>
                  <w:effect w:val="none"/>
                </w:rPr>
                <w:t>42</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33">
              <w:r>
                <w:rPr>
                  <w:rStyle w:val="InternetLink"/>
                  <w:rFonts w:ascii="Times New Roman;sans-serif" w:hAnsi="Times New Roman;sans-serif"/>
                  <w:b w:val="false"/>
                  <w:color w:val="0000FF"/>
                  <w:sz w:val="20"/>
                  <w:u w:val="single"/>
                </w:rPr>
                <w:t>Item 5.</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33">
              <w:r>
                <w:rPr>
                  <w:rStyle w:val="InternetLink"/>
                  <w:rFonts w:ascii="Times New Roman;sans-serif" w:hAnsi="Times New Roman;sans-serif"/>
                  <w:b w:val="false"/>
                  <w:color w:val="0000FF"/>
                  <w:sz w:val="20"/>
                  <w:u w:val="single"/>
                </w:rPr>
                <w:t>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33">
              <w:r>
                <w:rPr>
                  <w:rStyle w:val="InternetLink"/>
                  <w:rFonts w:ascii="Times New Roman;sans-serif" w:hAnsi="Times New Roman;sans-serif"/>
                  <w:b w:val="false"/>
                  <w:strike w:val="false"/>
                  <w:dstrike w:val="false"/>
                  <w:color w:val="000000"/>
                  <w:sz w:val="20"/>
                  <w:u w:val="none"/>
                  <w:effect w:val="none"/>
                </w:rPr>
                <w:t>42</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36">
              <w:r>
                <w:rPr>
                  <w:rStyle w:val="InternetLink"/>
                  <w:rFonts w:ascii="Times New Roman;sans-serif" w:hAnsi="Times New Roman;sans-serif"/>
                  <w:b w:val="false"/>
                  <w:color w:val="0000FF"/>
                  <w:sz w:val="20"/>
                  <w:u w:val="single"/>
                </w:rPr>
                <w:t>Item 6.</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36">
              <w:r>
                <w:rPr>
                  <w:rStyle w:val="InternetLink"/>
                  <w:rFonts w:ascii="Times New Roman;sans-serif" w:hAnsi="Times New Roman;sans-serif"/>
                  <w:b w:val="false"/>
                  <w:color w:val="0000FF"/>
                  <w:sz w:val="20"/>
                  <w:u w:val="single"/>
                </w:rPr>
                <w:t>Exhibits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36">
              <w:r>
                <w:rPr>
                  <w:rStyle w:val="InternetLink"/>
                  <w:rFonts w:ascii="Times New Roman;sans-serif" w:hAnsi="Times New Roman;sans-serif"/>
                  <w:b w:val="false"/>
                  <w:strike w:val="false"/>
                  <w:dstrike w:val="false"/>
                  <w:color w:val="000000"/>
                  <w:sz w:val="20"/>
                  <w:u w:val="none"/>
                  <w:effect w:val="none"/>
                </w:rPr>
                <w:t>43</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7cee354d0a46f995263469ca977ca7_139">
              <w:r>
                <w:rPr>
                  <w:rStyle w:val="InternetLink"/>
                  <w:rFonts w:ascii="Times New Roman;sans-serif" w:hAnsi="Times New Roman;sans-serif"/>
                  <w:b w:val="false"/>
                  <w:color w:val="0000FF"/>
                  <w:sz w:val="20"/>
                  <w:u w:val="single"/>
                </w:rPr>
                <w:t>Signatures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cee354d0a46f995263469ca977ca7_139">
              <w:r>
                <w:rPr>
                  <w:rStyle w:val="InternetLink"/>
                  <w:rFonts w:ascii="Times New Roman;sans-serif" w:hAnsi="Times New Roman;sans-serif"/>
                  <w:b w:val="false"/>
                  <w:strike w:val="false"/>
                  <w:dstrike w:val="false"/>
                  <w:color w:val="000000"/>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03"/>
        <w:gridCol w:w="2198"/>
        <w:gridCol w:w="2213"/>
        <w:gridCol w:w="248"/>
        <w:gridCol w:w="934"/>
        <w:gridCol w:w="137"/>
        <w:gridCol w:w="109"/>
        <w:gridCol w:w="109"/>
        <w:gridCol w:w="109"/>
        <w:gridCol w:w="242"/>
        <w:gridCol w:w="908"/>
        <w:gridCol w:w="195"/>
      </w:tblGrid>
      <w:tr>
        <w:trPr/>
        <w:tc>
          <w:tcPr>
            <w:tcW w:w="280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par value and share data)</w:t>
            </w:r>
          </w:p>
        </w:tc>
        <w:tc>
          <w:tcPr>
            <w:tcW w:w="13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72,287 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costs and other</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 commodity derivatives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102,463 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146,320 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gas properties, successful efforts method</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1,311,625 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1,028,662 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depletion</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(496,452)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(383,673)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property and equipment, net</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815,173 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644,989 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assets:</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assets</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920,614 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794,777 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62,180 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commodity derivatives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69,830 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64,134 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commodity derivatives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common stock warrants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Asset retirement obligations </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200,604 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108,239 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270,434 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172,373 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431,000,000 shares authorized, 136,053,725 and 133,294,897 issued at September 30, 2023 and December 31, 2022, respectively</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1,840,427 and 25,920 shares at September 30, 2023 and December 31, 2022, respectively</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650,180 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622,404 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920,614 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794,777 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99"/>
        <w:gridCol w:w="1285"/>
        <w:gridCol w:w="1293"/>
        <w:gridCol w:w="212"/>
        <w:gridCol w:w="831"/>
        <w:gridCol w:w="109"/>
        <w:gridCol w:w="109"/>
        <w:gridCol w:w="109"/>
        <w:gridCol w:w="109"/>
        <w:gridCol w:w="212"/>
        <w:gridCol w:w="831"/>
        <w:gridCol w:w="109"/>
        <w:gridCol w:w="109"/>
        <w:gridCol w:w="109"/>
        <w:gridCol w:w="109"/>
        <w:gridCol w:w="211"/>
        <w:gridCol w:w="826"/>
        <w:gridCol w:w="109"/>
        <w:gridCol w:w="109"/>
        <w:gridCol w:w="109"/>
        <w:gridCol w:w="109"/>
        <w:gridCol w:w="211"/>
        <w:gridCol w:w="826"/>
        <w:gridCol w:w="160"/>
      </w:tblGrid>
      <w:tr>
        <w:trPr/>
        <w:tc>
          <w:tcPr>
            <w:tcW w:w="199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sales</w:t>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and accretion expense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Abandonments expense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(including non-cash stock-based compensation of $379 and $1,813 for the three and nine months ended September 30, 2023)</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238,210 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derivatives - commodity derivatives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derivatives - common stock warrants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w:t>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64"/>
        <w:gridCol w:w="508"/>
        <w:gridCol w:w="509"/>
        <w:gridCol w:w="229"/>
        <w:gridCol w:w="229"/>
        <w:gridCol w:w="233"/>
        <w:gridCol w:w="126"/>
        <w:gridCol w:w="126"/>
        <w:gridCol w:w="126"/>
        <w:gridCol w:w="327"/>
        <w:gridCol w:w="181"/>
        <w:gridCol w:w="183"/>
        <w:gridCol w:w="109"/>
        <w:gridCol w:w="109"/>
        <w:gridCol w:w="109"/>
        <w:gridCol w:w="196"/>
        <w:gridCol w:w="736"/>
        <w:gridCol w:w="109"/>
        <w:gridCol w:w="109"/>
        <w:gridCol w:w="109"/>
        <w:gridCol w:w="109"/>
        <w:gridCol w:w="367"/>
        <w:gridCol w:w="309"/>
        <w:gridCol w:w="303"/>
        <w:gridCol w:w="109"/>
        <w:gridCol w:w="109"/>
        <w:gridCol w:w="109"/>
        <w:gridCol w:w="292"/>
        <w:gridCol w:w="294"/>
        <w:gridCol w:w="196"/>
        <w:gridCol w:w="109"/>
        <w:gridCol w:w="109"/>
        <w:gridCol w:w="109"/>
        <w:gridCol w:w="196"/>
        <w:gridCol w:w="677"/>
        <w:gridCol w:w="109"/>
        <w:gridCol w:w="109"/>
        <w:gridCol w:w="109"/>
        <w:gridCol w:w="109"/>
        <w:gridCol w:w="223"/>
        <w:gridCol w:w="841"/>
        <w:gridCol w:w="181"/>
      </w:tblGrid>
      <w:tr>
        <w:trPr/>
        <w:tc>
          <w:tcPr>
            <w:tcW w:w="76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7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135,949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652,325 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($0.11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(14,809)</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in warrant exchange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for exercise of warrants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17,957</w:t>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September 30, 2023</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136,054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650,180</w:t>
            </w:r>
          </w:p>
        </w:tc>
      </w:tr>
    </w:tbl>
    <w:tbl>
      <w:tblPr>
        <w:tblW w:w="7253" w:type="dxa"/>
        <w:jc w:val="left"/>
        <w:tblInd w:w="0" w:type="dxa"/>
        <w:tblLayout w:type="fixed"/>
        <w:tblCellMar>
          <w:top w:w="28" w:type="dxa"/>
          <w:left w:w="28" w:type="dxa"/>
          <w:bottom w:w="28" w:type="dxa"/>
          <w:right w:w="28" w:type="dxa"/>
        </w:tblCellMar>
      </w:tblPr>
      <w:tblGrid>
        <w:gridCol w:w="717"/>
        <w:gridCol w:w="631"/>
        <w:gridCol w:w="632"/>
        <w:gridCol w:w="334"/>
        <w:gridCol w:w="1256"/>
        <w:gridCol w:w="186"/>
        <w:gridCol w:w="186"/>
        <w:gridCol w:w="186"/>
        <w:gridCol w:w="186"/>
        <w:gridCol w:w="186"/>
        <w:gridCol w:w="109"/>
        <w:gridCol w:w="109"/>
        <w:gridCol w:w="109"/>
        <w:gridCol w:w="109"/>
        <w:gridCol w:w="109"/>
        <w:gridCol w:w="109"/>
        <w:gridCol w:w="109"/>
        <w:gridCol w:w="586"/>
        <w:gridCol w:w="109"/>
        <w:gridCol w:w="109"/>
        <w:gridCol w:w="109"/>
        <w:gridCol w:w="252"/>
        <w:gridCol w:w="394"/>
        <w:gridCol w:w="431"/>
      </w:tblGrid>
      <w:tr>
        <w:trPr/>
        <w:tc>
          <w:tcPr>
            <w:tcW w:w="7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500"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c>
          <w:tcPr>
            <w:tcW w:w="2753" w:type="dxa"/>
            <w:gridSpan w:val="14"/>
            <w:tcBorders/>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Previous</w:t>
              <w:br/>
              <w:t xml:space="preserve">Partnerships' </w:t>
              <w:br/>
              <w:t>Capital Existing</w:t>
              <w:br/>
              <w:t>Until the</w:t>
              <w:br/>
              <w:t>Recapitalization</w:t>
              <w:br/>
              <w:t>of Granite Ridge</w:t>
              <w:br/>
              <w:t>Resources, Inc.</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c>
          <w:tcPr>
            <w:tcW w:w="1404" w:type="dxa"/>
            <w:gridSpan w:val="6"/>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7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2022</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600,658</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600,658</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79,991 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September 30, 2022</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680,649 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680,649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4"/>
        <w:gridCol w:w="472"/>
        <w:gridCol w:w="474"/>
        <w:gridCol w:w="229"/>
        <w:gridCol w:w="229"/>
        <w:gridCol w:w="233"/>
        <w:gridCol w:w="123"/>
        <w:gridCol w:w="123"/>
        <w:gridCol w:w="123"/>
        <w:gridCol w:w="327"/>
        <w:gridCol w:w="181"/>
        <w:gridCol w:w="183"/>
        <w:gridCol w:w="109"/>
        <w:gridCol w:w="109"/>
        <w:gridCol w:w="109"/>
        <w:gridCol w:w="412"/>
        <w:gridCol w:w="344"/>
        <w:gridCol w:w="347"/>
        <w:gridCol w:w="109"/>
        <w:gridCol w:w="109"/>
        <w:gridCol w:w="109"/>
        <w:gridCol w:w="366"/>
        <w:gridCol w:w="308"/>
        <w:gridCol w:w="303"/>
        <w:gridCol w:w="109"/>
        <w:gridCol w:w="109"/>
        <w:gridCol w:w="109"/>
        <w:gridCol w:w="291"/>
        <w:gridCol w:w="292"/>
        <w:gridCol w:w="196"/>
        <w:gridCol w:w="109"/>
        <w:gridCol w:w="109"/>
        <w:gridCol w:w="109"/>
        <w:gridCol w:w="196"/>
        <w:gridCol w:w="674"/>
        <w:gridCol w:w="109"/>
        <w:gridCol w:w="109"/>
        <w:gridCol w:w="109"/>
        <w:gridCol w:w="109"/>
        <w:gridCol w:w="522"/>
        <w:gridCol w:w="359"/>
        <w:gridCol w:w="420"/>
      </w:tblGrid>
      <w:tr>
        <w:trPr/>
        <w:tc>
          <w:tcPr>
            <w:tcW w:w="7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133,295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622,404</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ASU No. 2016-13 (Note 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January 1,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133,295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622,286 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vesting shares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shares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(12,345)</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($0.33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(44,072)</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in warrant exchange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17,646 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for exercise of warrants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63,560</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September 30, 2023</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136,054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650,180</w:t>
            </w:r>
          </w:p>
        </w:tc>
      </w:tr>
    </w:tbl>
    <w:tbl>
      <w:tblPr>
        <w:tblW w:w="7266" w:type="dxa"/>
        <w:jc w:val="left"/>
        <w:tblInd w:w="0" w:type="dxa"/>
        <w:tblLayout w:type="fixed"/>
        <w:tblCellMar>
          <w:top w:w="28" w:type="dxa"/>
          <w:left w:w="28" w:type="dxa"/>
          <w:bottom w:w="28" w:type="dxa"/>
          <w:right w:w="28" w:type="dxa"/>
        </w:tblCellMar>
      </w:tblPr>
      <w:tblGrid>
        <w:gridCol w:w="717"/>
        <w:gridCol w:w="630"/>
        <w:gridCol w:w="632"/>
        <w:gridCol w:w="324"/>
        <w:gridCol w:w="1220"/>
        <w:gridCol w:w="180"/>
        <w:gridCol w:w="180"/>
        <w:gridCol w:w="180"/>
        <w:gridCol w:w="180"/>
        <w:gridCol w:w="180"/>
        <w:gridCol w:w="109"/>
        <w:gridCol w:w="109"/>
        <w:gridCol w:w="109"/>
        <w:gridCol w:w="109"/>
        <w:gridCol w:w="109"/>
        <w:gridCol w:w="109"/>
        <w:gridCol w:w="109"/>
        <w:gridCol w:w="586"/>
        <w:gridCol w:w="109"/>
        <w:gridCol w:w="109"/>
        <w:gridCol w:w="109"/>
        <w:gridCol w:w="287"/>
        <w:gridCol w:w="449"/>
        <w:gridCol w:w="43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423"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c>
          <w:tcPr>
            <w:tcW w:w="2843" w:type="dxa"/>
            <w:gridSpan w:val="14"/>
            <w:tcBorders/>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Previous</w:t>
              <w:br/>
              <w:t xml:space="preserve">Partnerships' </w:t>
              <w:br/>
              <w:t>Capital Existing</w:t>
              <w:br/>
              <w:t>Until the</w:t>
              <w:br/>
              <w:t>Recapitalization</w:t>
              <w:br/>
              <w:t>of Granite Ridge</w:t>
              <w:br/>
              <w:t>Resources, Inc.</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c>
          <w:tcPr>
            <w:tcW w:w="1494" w:type="dxa"/>
            <w:gridSpan w:val="6"/>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7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4"/>
            <w:tcBorders/>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2021</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474,930</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474,930</w:t>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205,719 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September 30, 2022</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680,649 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680,649</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18" w:type="dxa"/>
        <w:jc w:val="left"/>
        <w:tblInd w:w="0" w:type="dxa"/>
        <w:tblLayout w:type="fixed"/>
        <w:tblCellMar>
          <w:top w:w="28" w:type="dxa"/>
          <w:left w:w="28" w:type="dxa"/>
          <w:bottom w:w="28" w:type="dxa"/>
          <w:right w:w="28" w:type="dxa"/>
        </w:tblCellMar>
      </w:tblPr>
      <w:tblGrid>
        <w:gridCol w:w="2128"/>
        <w:gridCol w:w="1874"/>
        <w:gridCol w:w="1878"/>
        <w:gridCol w:w="212"/>
        <w:gridCol w:w="780"/>
        <w:gridCol w:w="118"/>
        <w:gridCol w:w="118"/>
        <w:gridCol w:w="118"/>
        <w:gridCol w:w="118"/>
        <w:gridCol w:w="212"/>
        <w:gridCol w:w="796"/>
        <w:gridCol w:w="166"/>
      </w:tblGrid>
      <w:tr>
        <w:trPr/>
        <w:tc>
          <w:tcPr>
            <w:tcW w:w="212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Abandonments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derivatives - commodity derivatives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receipts from (payments on) commodity derivatives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derivatives - common stock warrants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attributable to changes in operating assets and liabilities: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expenses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payable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212,692 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251,356 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for oil and natural gas properties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 of advances to operators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disposal of oil and natural gas properties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(286,505)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(175,063)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 on credit facilities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 on credit facilities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contributions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expenses related to formation of Granite Ridge Resources, Inc.</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shares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dividends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(51,016)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restricted cash</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 at end of period</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activities: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property development costs in accrued expenses</w:t>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 applied to development of oil and natural gas properties</w:t>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cash included in other long-term assets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color w:val="000000"/>
          <w:sz w:val="20"/>
        </w:rPr>
        <w:t>The accompanying notes are an integral part to these condensed consolidated financial statements.</w:t>
      </w:r>
      <w:r>
        <w:rPr>
          <w:rFonts w:ascii="Georgia;serif" w:hAnsi="Georgia;serif"/>
          <w:b w:val="false"/>
          <w:color w:val="C0C0C0"/>
          <w:sz w:val="2"/>
        </w:rPr>
        <w: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 and nature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Resources, Inc. (together with its consolidated subsidiaries, “Granite Ridge,” the “Company,” or the “Successor”) is a Delaware corporation, initially formed in May 2022, whose common stock is listed and traded on the New York Stock Exchange (“NYSE”). The Company was created for the purpose of the Business Combination (as defined below), and following the Business Combination, for the purpose of purchasing non-operated oil and natural gas assets in multiple basins in North America and realizing profits through participation in oil and natural gas wells.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Business Combination closed and was accounted for as a reverse recapitalization and Grey Rock Energy Fund III (as defined below) was determined to be the accounting acquirer and Predecessor (as defined below). Unless otherwise indicated, for the periods prior to October 24, 2022, (i) the historical financial data in this Quarterly Report on Form 10-Q and (ii) the operating and other non-financial data disclosed in “Item II – Management’s Discussion and Analysis of Financial Condition and Results of Operations” (collectively the “Financial Statement Sections”) reflect the combined business and operations of the Funds (as defined below).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Executive Network Partnering Corporation, a Delaware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closing of the Transactions, the net assets of Grey Rock Energy Fund, L.P., a Delaware limited partnership (“Fund I”),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were transferred (through various intermediary entities) to GREP (the “GREP Formation Transaction”). Fund I, Fund II and Fund III are collectively referred to herein as the “Funds”.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special meeting of ENPC stockholders held in connection with the Business Combination, of the 41,400,000 shares of ENPC Class A common stock, public stockholders of 39,343,496 shares of ENPC Class A common stock exercised their rights to have those shares redeemed for cash at a redemption price of approximately $10.07 per share, or an aggregate of approximately $396.1 million. The holders of membership interests in GREP (the “Existing GREP Members”) and their direct and indirect members were issued 130.0 million shares of Granite Ridge common stock at the closing. Upon consummation of the Business Combination, each public stockholder’s ENPC common stock and ENPC warrants were automatically converted into an equivalent number of shares of Granite Ridge common stock and Granite Ridge warrants as a result of the Transactions. At the effective time of the Mergers, (i) 495,357 shares of ENPC Class F common stock were converted to 1,238,393 shares of ENPC Class A common stock (of which an aggregate of 220,348 shares were subsequently forfeited pursuant to the terms of the Sponsor Agreement, dated as of May 16, 2022, by and among ENPC, Granite Ridge, and certain other parties thereto (the “Sponsor Agreement”)) and the remaining shares of ENPC Class F common stock outstanding were automatically cancelled for no consideration (the “ENPC Class F Conversion”) (ii) all other remaining shares of ENPC Class A common stock automatically cancelled without any conversion, payment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(the “Sponsor Share Cancellation”) and (iii) all shares of ENPC Class B common stock outstanding were deemed transferred to ENPC and surrendered and forfeited for no consideration (the “ENPC Class B Contribution”). In January 2023, 220,348 of the 371,518 shares subject to vesting and forfeiture provisions under the terms of the Sponsor Agreement were forfeited.</w:t>
      </w:r>
    </w:p>
    <w:p>
      <w:pPr>
        <w:pStyle w:val="TextBody"/>
        <w:bidi w:val="0"/>
        <w:spacing w:lineRule="auto" w:line="288" w:before="240" w:after="283"/>
        <w:jc w:val="both"/>
        <w:rPr/>
      </w:pPr>
      <w:r>
        <w:rPr>
          <w:rFonts w:ascii="Times New Roman;sans-serif" w:hAnsi="Times New Roman;sans-serif"/>
          <w:b w:val="false"/>
          <w:color w:val="000000"/>
          <w:sz w:val="20"/>
        </w:rPr>
        <w:t>Following the ENPC Class F Conversion, the Sponsor Share Cancellation, the ENPC Class B Contribution and the separation of the securities offered in ENPC’s initial public offering, which consisted of one share of Class A common stock and one-quarter of one ENPC warrant (“CAPS</w:t>
      </w:r>
      <w:r>
        <w:rPr>
          <w:rFonts w:ascii="Times New Roman;sans-serif" w:hAnsi="Times New Roman;sans-serif"/>
          <w:b w:val="false"/>
          <w:color w:val="000000"/>
          <w:sz w:val="10"/>
        </w:rPr>
        <w:t>TM</w:t>
      </w:r>
      <w:r>
        <w:rPr>
          <w:color w:val="000000"/>
        </w:rPr>
        <w:t xml:space="preserve"> </w:t>
      </w:r>
      <w:r>
        <w:rPr>
          <w:rFonts w:ascii="Times New Roman;sans-serif" w:hAnsi="Times New Roman;sans-serif"/>
          <w:b w:val="false"/>
          <w:color w:val="000000"/>
          <w:sz w:val="20"/>
        </w:rPr>
        <w:t xml:space="preserve">Separation”), each share of ENPC Class A common stock outstanding was automatically converted into one share of Granite Ridge common stock. Total aggregate investment by ENPC was $6.8 million, which amount represents total risk capital contributed by ENPC, including working capital loans that were forgiven.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Fund III, Fund I and Fund II were identified as entities under common control, in which all entities are ultimately controlled by the same party before and after the GREP Formation Transaction and therefore resulted in a change in reporting entity. In accordance with Financial Accounting Standards Board (“FASB”) Accounting Standards Codification (“ASC”) 805-50-45-5, for transactions between entities under common control, the consolidated financial statements for periods prior to the GREP Formation Transaction have been adjusted to retrospectively combine the previously separate entities for presentation purposes.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in connection with the Business Combination, the Company issued 10,349,975 common stock warrants. On June 22, 2023, the Company completed an offer to holders of its outstanding warrants which provided such holders the opportunity to receive 0.25 shares of the Company’s common stock in exchange for each warrant tendered by such holders (the “Offer”). This Offer coincided with a solicitation of consents from holders of the warrants to amend the warrant agreement to permit the Company to require that each warrant that remained outstanding upon the closing of the Offer be exchanged for 0.225 shares of the Company’s common stock (together with the Offer, the “Warrant Exchange”).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See Note 9 for further discussion of the Warrant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complete discussion of the Company’s significant accounting policies is included in the Company’s Annual Report on Form 10-K for the year ended December 31,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it pertains to the periods prior to completion of the Business Combination, the financial statements have been presented on a combined historical basis due to the Funds’ prior common ownership and control. Prior to the Business Combination, the financial statements include the accounts of the Funds, all of which were commonly owned and controlled. All inter-entity balances and transactions have been eliminated in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it pertains to the period subsequent to completion of the Business Combination, the accompanying condensed consolidated financial statements also include the accounts of the Company, and all other wholly owned subsidiaries created in connection with the Business Combination. References to the “Company” prior to October 24, 2022 refer to the combined business of the Funds and references after October 24, 2022 refer to the consolidated business of Granite Ridge Resources, Inc.</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periods prior to October 24, 2022 reflect the Funds as limited partnerships, not as corporations. The primary financial impacts of the Transactions to the condensed consolidated financial statements were (i) reclassification of partnership capital accounts to equity accounts reflective of a corporation and (ii) income tax effects. Since the Funds were identified as entities under common control, the condensed consolidated financial statements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periods prior to the GREP Formation Transaction have been adjusted to retrospectively combine the previously separate entities for presentation purposes. All intercompany transactions within the consolidated businesses of the Company have been eliminated.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conformity with accounting principles generally accepted in the United States of America (“U.S. GAAP”). The Company operates in one operating segment, which is oil and natural gas development, exploration and production. All of our operations are conducted in the geographic area of the United States.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The Company’s estimates of oil and natural gas reserves are, by necessity, projections based on geologic and engineering data, and there are uncertainties inherent in the interpretation of such data as well as the projection of future rates of production and the timing of development expenditures. Any significant variance in the assumptions could materially affect the estimated quantity of the reserves, which could affect the carrying value of the Company’s oil and natural gas properties and/or the rate of depletion related to the oil and natural gas properties.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significant estimates include, but are not limited to, fair value of derivative financial instrument, fair value of business combinations, asset retirement obligations, revenue receivable and income taxes. Actual results could differ from those estimates.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period amounts to conform to the current period presentation.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Interim financial statements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of the Company have not been audited by the Company’s independent registered public accounting firm, except that the condensed consolidated balance sheet at December 31, 2022 is derived from audited combined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 In preparing the accompanying condensed consolidated financial statements, management has made certain estimates and assumptions that affect reported amounts in the condensed consolidated financial statements. Actual results may differ from those estimates. The results for interim periods are not necessarily indicative of annual results.</w:t>
      </w:r>
    </w:p>
    <w:p>
      <w:pPr>
        <w:pStyle w:val="TextBody"/>
        <w:bidi w:val="0"/>
        <w:spacing w:lineRule="auto" w:line="288" w:before="240" w:after="283"/>
        <w:jc w:val="both"/>
        <w:rPr/>
      </w:pPr>
      <w:r>
        <w:rPr>
          <w:rFonts w:ascii="Times New Roman;sans-serif" w:hAnsi="Times New Roman;sans-serif"/>
          <w:b w:val="false"/>
          <w:color w:val="000000"/>
          <w:sz w:val="20"/>
        </w:rPr>
        <w:t>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Annual Report on Form 10-K for the year ended December 31, 2022</w:t>
      </w:r>
      <w:r>
        <w:rPr>
          <w:rFonts w:ascii="Times New Roman;sans-serif" w:hAnsi="Times New Roman;sans-serif"/>
          <w:b w:val="false"/>
          <w:i/>
          <w:color w:val="000000"/>
          <w:sz w:val="20"/>
        </w:rPr>
        <w: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Receivable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receivable is comprised of accrued oil and natural gas sales. The operators remit payment for production directly to the Company. In the event of complete non-performance by the Company’s customers, the maximum exposure to the Company is the outstanding revenue receivable balance at the date of non-performance. The Company monitors this exposure primarily by reviewing credit ratings, financial statements and payment history. Revenue receivables are generally unsecured and typically received from the operator one to three months after production. The Company had an allowance for expected credit losses of $0.2 million at September 30, 2023, which was based on a historical loss rate. The Company’s allowance for doubtful accounts at December 31, 2022 was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forecasts of future economic conditions in the estimate of its expected credit losses, in particular whether there is an increase in the probability that the Company’s counterparties are unable to pay their obligations when due, and adjusts its allowance for expected credit losses, when necessary.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Advance to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the drilling of oil and natural gas wells with other working interest partners. Due to the capital-intensive nature of oil and natural gas drilling activities, our partner operators may request advance payments from working interest partners for their share of the costs. The Company expects such advances to be applied by these operators against joint interest billings for its share of drilling operations within 90 days from when the advance is paid. Changes in advances to operators are presented as an investing outflow within capital expenditures for oil and natural gas properties on the statement of cash flows.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Properties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uses the successful efforts method of accounting for oil and gas producing activities, as further defined under ASC 932, </w:t>
      </w:r>
      <w:r>
        <w:rPr>
          <w:rFonts w:ascii="Times New Roman;sans-serif" w:hAnsi="Times New Roman;sans-serif"/>
          <w:b w:val="false"/>
          <w:i/>
          <w:color w:val="000000"/>
          <w:sz w:val="20"/>
        </w:rPr>
        <w:t>Extractive Activities - Oil and Gas</w:t>
      </w:r>
      <w:r>
        <w:rPr>
          <w:color w:val="000000"/>
        </w:rPr>
        <w:t xml:space="preserve"> </w:t>
      </w:r>
      <w:r>
        <w:rPr>
          <w:rFonts w:ascii="Times New Roman;sans-serif" w:hAnsi="Times New Roman;sans-serif"/>
          <w:b w:val="false"/>
          <w:color w:val="000000"/>
          <w:sz w:val="20"/>
        </w:rPr>
        <w:t>(“ASC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$44.1 million and $36.5 million for the three months ended September 30, 2023 and 2022, respectively, and $112.7 million and $83.7 million for the nine months ended September 30, 2023 and 2022, respectively.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Commodity Derivatives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its derivative instruments as either assets or liabilities measured at fair value. The Company nets the fair value of the derivative instruments by counterparty in the accompanying condensed consolidated balance sheets when the right of offset exists. The Company does not have any derivatives designated as fair value or cash flow hedges.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Warrant Exchange, the Company accounted for warrants as liability-classified instruments based on an assessment of the warrant’s specific terms and applicable authoritative guidance in Accounting Standards Codification (“ASC”) Topic 480, “Distinguishing Liabilities from Equity” (“ASC 480”) and ASC Topic 815, “Derivatives and Hedging” (“ASC 815”). The warrants were required to be recorded at their initial fair value on the date of issuance, and each balance sheet date thereafter. Changes in the estimated fair value of the warrants were recognized as a non-operating gain or loss on the condensed consolidated statements of operations. For the period during which the Company’s common stock was publicly traded, the fair value of the warrants was based on quoted prices in an active market. Refer to Note 4 for further discussion on fair value considerations.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2023, the Company issued 2,471,738 shares of common stock in exchange for 9,887,035 warrants tendered in the Offer. In July 2023, each remaining outstanding warrant was converted into 0.225 shares of the Company’s common stock, and subsequently, no warrants remained outstanding. See Note 9 for further discussion of the Warrant Exchange.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obligations are satisfied when the customer obtains control of the product, when the Company has no further obligations to perform related to the sale, when the transaction price has been determined, and when collectability is probable.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 is satisfied, the variable consideration can be reasonably estimated, and amounts due from customers are accrued in revenue receivable in the balance sheets. Variances between the Company’s estimated revenue and actual payments are recorded in the month the payment is received; however, differences have been and are insignificant.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lineRule="auto" w:line="288" w:before="240" w:after="283"/>
        <w:jc w:val="both"/>
        <w:rPr/>
      </w:pPr>
      <w:r>
        <w:rPr>
          <w:rFonts w:ascii="Times New Roman;sans-serif" w:hAnsi="Times New Roman;sans-serif"/>
          <w:b w:val="false"/>
          <w:i/>
          <w:color w:val="000000"/>
          <w:sz w:val="20"/>
        </w:rPr>
        <w:t>Non-operated Crude Oil and Natural Gas Revenues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proportionate share of production from non-operated properties is generally marketed at the discretion of the operators. For non-operated properties, the Company receives a net payment from the operator representing its proportionate share of sales proceeds which is net of transportation and production tax costs incurred by the operator, if any. Such non-operated revenues are recognized at the net amount of proceeds to be received by the Company during the month in which production occurs and it is probable the Company will collect the consideration it is entitled to receive. Proceeds are generally received by the Company within one to three months after the month in which production occurs.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Take-in Kind Oil and Natural Gas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arrangements, the Company has the right to take a volume of processed residue gas and/or natural gas liquids (“NGLs”) in-kind at the tailgate of the midstream customer’s processing plant in lieu of receiving a net payment from the operator representing its proportionate share of its natural gas production. The Company currently takes certain processed gas volumes in kind in lieu of monetary settlement but does not currently take NGL volumes in kind. When the Company elects to take volumes in kind, it pays third parties to transport the processed products it took in-kind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processed products to downstream customers are recorded in Lease Operating Expenses on the condensed consolidated statements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disaggregated revenue has two primary sources: oil sales and natural gas sales. Substantially all of the Company’s oil and natural gas sales come from five geographic areas in the United States: the Eagle Ford Basin (Texas), the Permian Basin (Texas), the Haynesville Basin (Texas/Louisiana), the Denver-Julesburg “DJ” Basin (Colorado),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Bakken Basin (Montana/North Dakota). The following tables present the disaggregation of the Company’s oil revenues and natural gas revenues by basin for the three and nine months ended September 30, 2023 and 2022.</w:t>
      </w:r>
    </w:p>
    <w:tbl>
      <w:tblPr>
        <w:tblW w:w="6796" w:type="dxa"/>
        <w:jc w:val="left"/>
        <w:tblInd w:w="0" w:type="dxa"/>
        <w:tblLayout w:type="fixed"/>
        <w:tblCellMar>
          <w:top w:w="28" w:type="dxa"/>
          <w:left w:w="28" w:type="dxa"/>
          <w:bottom w:w="28" w:type="dxa"/>
          <w:right w:w="28" w:type="dxa"/>
        </w:tblCellMar>
      </w:tblPr>
      <w:tblGrid>
        <w:gridCol w:w="407"/>
        <w:gridCol w:w="358"/>
        <w:gridCol w:w="359"/>
        <w:gridCol w:w="216"/>
        <w:gridCol w:w="847"/>
        <w:gridCol w:w="111"/>
        <w:gridCol w:w="111"/>
        <w:gridCol w:w="111"/>
        <w:gridCol w:w="111"/>
        <w:gridCol w:w="216"/>
        <w:gridCol w:w="847"/>
        <w:gridCol w:w="111"/>
        <w:gridCol w:w="109"/>
        <w:gridCol w:w="109"/>
        <w:gridCol w:w="109"/>
        <w:gridCol w:w="211"/>
        <w:gridCol w:w="826"/>
        <w:gridCol w:w="109"/>
        <w:gridCol w:w="109"/>
        <w:gridCol w:w="109"/>
        <w:gridCol w:w="109"/>
        <w:gridCol w:w="211"/>
        <w:gridCol w:w="82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108,404 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136,966 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287,271 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381,082 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Stock-Based Compensation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recognized in the Company’s financial statements on an accelerated basis over the awards’ vesting periods based on their grant date fair values. Restricted stock awards are valued at the closing price of our common stock on the date of grant. The Company utilizes the Monte Carlo simulation method to determine the fair value of certain performance stock units (“PSUs”) and a Binomial Lattice model for stock options. The Company recognizes forfeitures on stock-based compensation awards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and Applicable Accounting Pronouncements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FASB issued ASU No. 2016-13, “Financial Instruments — Credit Losses (Topic 326): Measurement of Credit Losses on Financial Instruments” which replaces the current “incurred loss” methodology for recognizing credit losses with an “expected loss” methodology. This new methodology requires that a financial asset measured at amortized cost be presented at the net amount expected to be collected. This standard is intended to provide more timely decision-useful information about the expected credit losses on financial instruments. The adoption of this guidance on January 1, 2023 did not have a material impact on the Company’s condensed consolidated financial statements or related disclosures. Revenue receivables is the primary financial asset that is within the scope of the new guidance. A loss-rate method is applied to the receivables to estimate credit losses. The Company recognized a tax effected $0.1 million non-cash cumulative effect adjustment to retained earnings on its opening consolidated balance sheet at January 1, 2023 to record an allowance for expected credit losses associated with the Company’s revenue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trading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designate its derivative instruments to qualify for hedge accounting. Accordingly, the Company reflects changes in the fair value of its derivative instruments in its condensed consolidated statements of operations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Collar, Producer 3-way Option Contracts and Swaps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consist of collar, producer 3-way option contracts and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producer 3-way option contract is established with the sale of a short call option (ceiling price) and the purchase of a long put option (floor price) set to expire at a predetermined date in the future. However, the producer 3-way option contract also includes the sale of a short put option (sub-floor price)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 In the case of a 3-way option contract, when the settlement price is below the sub-floor price, the Company receives from its counterparty an amount equal to the difference of the floor price and the sub-floor price multiplied by the hedged contract volume.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swap contract allows the Company to receive a fixed price and pay a floating market price to the counterparty for the hedged commodity.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master netting agreements with its counterparties, and therefore certain amounts may be presented on a net basis in the condensed consolidated balance sheets.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Volume of Derivative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Company’s outstanding commodity derivative contracts as of September 30, 2023. </w:t>
      </w:r>
    </w:p>
    <w:tbl>
      <w:tblPr>
        <w:tblW w:w="7943" w:type="dxa"/>
        <w:jc w:val="left"/>
        <w:tblInd w:w="0" w:type="dxa"/>
        <w:tblLayout w:type="fixed"/>
        <w:tblCellMar>
          <w:top w:w="28" w:type="dxa"/>
          <w:left w:w="28" w:type="dxa"/>
          <w:bottom w:w="28" w:type="dxa"/>
          <w:right w:w="28" w:type="dxa"/>
        </w:tblCellMar>
      </w:tblPr>
      <w:tblGrid>
        <w:gridCol w:w="1255"/>
        <w:gridCol w:w="1101"/>
        <w:gridCol w:w="1108"/>
        <w:gridCol w:w="109"/>
        <w:gridCol w:w="109"/>
        <w:gridCol w:w="109"/>
        <w:gridCol w:w="109"/>
        <w:gridCol w:w="109"/>
        <w:gridCol w:w="109"/>
        <w:gridCol w:w="109"/>
        <w:gridCol w:w="109"/>
        <w:gridCol w:w="211"/>
        <w:gridCol w:w="721"/>
        <w:gridCol w:w="109"/>
        <w:gridCol w:w="109"/>
        <w:gridCol w:w="109"/>
        <w:gridCol w:w="109"/>
        <w:gridCol w:w="211"/>
        <w:gridCol w:w="616"/>
        <w:gridCol w:w="109"/>
        <w:gridCol w:w="109"/>
        <w:gridCol w:w="109"/>
        <w:gridCol w:w="109"/>
        <w:gridCol w:w="235"/>
        <w:gridCol w:w="569"/>
        <w:gridCol w:w="172"/>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Producer 3-way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sub-floor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1,406,000</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reported in the condensed consolidated statements of operations related to the commodity derivative instruments for the three and nine months ended September 30, 2023 and 2022:</w:t>
      </w:r>
    </w:p>
    <w:tbl>
      <w:tblPr>
        <w:tblW w:w="8814" w:type="dxa"/>
        <w:jc w:val="left"/>
        <w:tblInd w:w="0" w:type="dxa"/>
        <w:tblLayout w:type="fixed"/>
        <w:tblCellMar>
          <w:top w:w="28" w:type="dxa"/>
          <w:left w:w="28" w:type="dxa"/>
          <w:bottom w:w="28" w:type="dxa"/>
          <w:right w:w="28" w:type="dxa"/>
        </w:tblCellMar>
      </w:tblPr>
      <w:tblGrid>
        <w:gridCol w:w="1146"/>
        <w:gridCol w:w="1008"/>
        <w:gridCol w:w="1011"/>
        <w:gridCol w:w="238"/>
        <w:gridCol w:w="780"/>
        <w:gridCol w:w="123"/>
        <w:gridCol w:w="123"/>
        <w:gridCol w:w="123"/>
        <w:gridCol w:w="123"/>
        <w:gridCol w:w="238"/>
        <w:gridCol w:w="814"/>
        <w:gridCol w:w="123"/>
        <w:gridCol w:w="109"/>
        <w:gridCol w:w="109"/>
        <w:gridCol w:w="109"/>
        <w:gridCol w:w="222"/>
        <w:gridCol w:w="730"/>
        <w:gridCol w:w="115"/>
        <w:gridCol w:w="115"/>
        <w:gridCol w:w="115"/>
        <w:gridCol w:w="115"/>
        <w:gridCol w:w="222"/>
        <w:gridCol w:w="841"/>
        <w:gridCol w:w="162"/>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(30,787)</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net cash receipts (payments on) commodity derivatives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606"/>
        <w:gridCol w:w="1411"/>
        <w:gridCol w:w="1403"/>
        <w:gridCol w:w="233"/>
        <w:gridCol w:w="683"/>
        <w:gridCol w:w="120"/>
        <w:gridCol w:w="120"/>
        <w:gridCol w:w="120"/>
        <w:gridCol w:w="120"/>
        <w:gridCol w:w="233"/>
        <w:gridCol w:w="873"/>
        <w:gridCol w:w="120"/>
        <w:gridCol w:w="109"/>
        <w:gridCol w:w="109"/>
        <w:gridCol w:w="109"/>
        <w:gridCol w:w="218"/>
        <w:gridCol w:w="748"/>
        <w:gridCol w:w="112"/>
        <w:gridCol w:w="112"/>
        <w:gridCol w:w="112"/>
        <w:gridCol w:w="112"/>
        <w:gridCol w:w="218"/>
        <w:gridCol w:w="816"/>
        <w:gridCol w:w="112"/>
        <w:gridCol w:w="109"/>
        <w:gridCol w:w="167"/>
      </w:tblGrid>
      <w:tr>
        <w:trPr/>
        <w:tc>
          <w:tcPr>
            <w:tcW w:w="16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18,830 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(40,006)</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in connection with the Business Combination, the Company issued 10,349,975 common stock warrants. Each warrant entitled the holder to purchase one share of Granite Ridge’s common stock at an exercise price of $11.50 per share. The common stock warrants became exercisable 30 days after the completion of the Business Combination and 461 common stock warrants were exercised as of September 30,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2023, the Company issued 2,471,738 shares of common stock in exchange for 9,887,035 warrants tendered in the Offer. In July 2023, each remaining outstanding warrant was converted into 0.225 shares of the Company’s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common stock warrants as of December 31, 2022 was $11.9 million. We recognized a loss of $8.0 thousand and $5.7 million during the three and nine months ended September 30, 2023, respectively, from the change in fair value of the warrant liability in the condensed consolidated statements of operations. The warrants exchanged in the Offer were marked to fair value on the date of settlement, and the liability of $17.0 million and $0.7 million related to the exchanged common stock warrants was removed from the condensed consolidated balance sheet in June 2023 and July 2023, respectively, and the issuance of shares of the Company’s common stock was reflected in stockholders’ equity. See Note 9 for further discussion of the Warrant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has adopted and follows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unadjusted, quoted prices in active markets for identical assets or liabilities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and fair values of the Company’s financial instruments as of September 30, 2023 and December 31, 2022:</w:t>
      </w:r>
    </w:p>
    <w:tbl>
      <w:tblPr>
        <w:tblW w:w="9615" w:type="dxa"/>
        <w:jc w:val="left"/>
        <w:tblInd w:w="0" w:type="dxa"/>
        <w:tblLayout w:type="fixed"/>
        <w:tblCellMar>
          <w:top w:w="28" w:type="dxa"/>
          <w:left w:w="28" w:type="dxa"/>
          <w:bottom w:w="28" w:type="dxa"/>
          <w:right w:w="28" w:type="dxa"/>
        </w:tblCellMar>
      </w:tblPr>
      <w:tblGrid>
        <w:gridCol w:w="1454"/>
        <w:gridCol w:w="1279"/>
        <w:gridCol w:w="1286"/>
        <w:gridCol w:w="252"/>
        <w:gridCol w:w="862"/>
        <w:gridCol w:w="130"/>
        <w:gridCol w:w="109"/>
        <w:gridCol w:w="109"/>
        <w:gridCol w:w="109"/>
        <w:gridCol w:w="211"/>
        <w:gridCol w:w="721"/>
        <w:gridCol w:w="109"/>
        <w:gridCol w:w="109"/>
        <w:gridCol w:w="109"/>
        <w:gridCol w:w="109"/>
        <w:gridCol w:w="252"/>
        <w:gridCol w:w="862"/>
        <w:gridCol w:w="130"/>
        <w:gridCol w:w="109"/>
        <w:gridCol w:w="109"/>
        <w:gridCol w:w="109"/>
        <w:gridCol w:w="211"/>
        <w:gridCol w:w="721"/>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16"/>
              </w:rPr>
              <w:t>(</w:t>
            </w:r>
            <w:r>
              <w:rPr>
                <w:rFonts w:ascii="Times New Roman;sans-serif" w:hAnsi="Times New Roman;sans-serif"/>
                <w:b/>
                <w:i/>
                <w:color w:val="000000"/>
                <w:sz w:val="16"/>
              </w:rPr>
              <w:t>in thousands)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common stock warrants</w:t>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facilities</w:t>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rPr>
        <w:t>Revolving credit facilities</w:t>
      </w:r>
      <w:r>
        <w:rPr>
          <w:color w:val="000000"/>
        </w:rPr>
        <w:t xml:space="preserve"> — </w:t>
      </w:r>
      <w:r>
        <w:rPr>
          <w:rFonts w:ascii="Times New Roman;sans-serif" w:hAnsi="Times New Roman;sans-serif"/>
          <w:b w:val="false"/>
          <w:color w:val="000000"/>
          <w:sz w:val="20"/>
        </w:rPr>
        <w:t>The carrying amounts of the revolving credit facilities approximate their fair values, as the applicable interest rates are variable and reflective of market rates.</w:t>
      </w:r>
    </w:p>
    <w:p>
      <w:pPr>
        <w:pStyle w:val="TextBody"/>
        <w:bidi w:val="0"/>
        <w:spacing w:lineRule="auto" w:line="288" w:before="240" w:after="283"/>
        <w:jc w:val="both"/>
        <w:rPr/>
      </w:pPr>
      <w:r>
        <w:rPr>
          <w:rFonts w:ascii="Times New Roman;sans-serif" w:hAnsi="Times New Roman;sans-serif"/>
          <w:b w:val="false"/>
          <w:i/>
          <w:color w:val="000000"/>
          <w:sz w:val="20"/>
        </w:rPr>
        <w:t>Other financial assets and liabilities</w:t>
      </w:r>
      <w:r>
        <w:rPr>
          <w:color w:val="000000"/>
        </w:rPr>
        <w:t xml:space="preserve"> — </w:t>
      </w:r>
      <w:r>
        <w:rPr>
          <w:rFonts w:ascii="Times New Roman;sans-serif" w:hAnsi="Times New Roman;sans-serif"/>
          <w:b w:val="false"/>
          <w:color w:val="000000"/>
          <w:sz w:val="20"/>
        </w:rPr>
        <w:t>The carrying amounts of the Company’s other financial assets and liabilities, such as revenue receivable and accrued expenses due to sellers, approximate their fair values because of the short maturity of these instruments.</w:t>
      </w:r>
    </w:p>
    <w:p>
      <w:pPr>
        <w:pStyle w:val="TextBody"/>
        <w:bidi w:val="0"/>
        <w:spacing w:lineRule="auto" w:line="288" w:before="240" w:after="283"/>
        <w:jc w:val="both"/>
        <w:rPr/>
      </w:pP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commodity derivatives</w:t>
      </w:r>
      <w:r>
        <w:rPr>
          <w:color w:val="000000"/>
        </w:rPr>
        <w:t xml:space="preserve"> — </w:t>
      </w:r>
      <w:r>
        <w:rPr>
          <w:rFonts w:ascii="Times New Roman;sans-serif" w:hAnsi="Times New Roman;sans-serif"/>
          <w:b w:val="false"/>
          <w:color w:val="000000"/>
          <w:sz w:val="20"/>
        </w:rPr>
        <w:t xml:space="preserve">The fair value of the Company’s derivative instruments is estimated by management considering various factors, including closing exchange and over-the-counter quotations and the time value of the underlying commitments. The fair value of the Company’s commodity derivative instruments is considered to be a Level 2 measurement. </w:t>
      </w:r>
      <w:r>
        <w:rPr>
          <w:rFonts w:ascii="Arial;sans-serif" w:hAnsi="Arial;sans-serif"/>
          <w:b w:val="false"/>
          <w:color w:val="000000"/>
          <w:sz w:val="18"/>
        </w:rPr>
        <w:t>S</w:t>
      </w:r>
      <w:r>
        <w:rPr>
          <w:rFonts w:ascii="Times New Roman;sans-serif" w:hAnsi="Times New Roman;sans-serif"/>
          <w:b w:val="false"/>
          <w:color w:val="000000"/>
          <w:sz w:val="20"/>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pStyle w:val="TextBody"/>
        <w:bidi w:val="0"/>
        <w:spacing w:lineRule="auto" w:line="288" w:before="240" w:after="283"/>
        <w:jc w:val="both"/>
        <w:rPr/>
      </w:pPr>
      <w:r>
        <w:rPr>
          <w:rFonts w:ascii="Times New Roman;sans-serif" w:hAnsi="Times New Roman;sans-serif"/>
          <w:b w:val="false"/>
          <w:i/>
          <w:color w:val="000000"/>
          <w:sz w:val="20"/>
        </w:rPr>
        <w:t xml:space="preserve">Derivative instruments - common stock warrants </w:t>
      </w:r>
      <w:r>
        <w:rPr>
          <w:color w:val="000000"/>
        </w:rPr>
        <w:t xml:space="preserve">— </w:t>
      </w:r>
      <w:r>
        <w:rPr>
          <w:rFonts w:ascii="Times New Roman;sans-serif" w:hAnsi="Times New Roman;sans-serif"/>
          <w:b w:val="false"/>
          <w:color w:val="000000"/>
          <w:sz w:val="20"/>
        </w:rPr>
        <w:t xml:space="preserve">The fair value of the Company’s common stock warrant liability was valued using the instrument’s publicly listed trading price, which is considered to be a Level 1 measurement due to the use of an observable market quote in an active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consolidated balance sheets as of September 30, 2023 and December 31, 2022. The Company nets the fair value of commodity derivative instruments by counterparty in the Company’s condensed consolidated balance sheets.</w:t>
      </w:r>
    </w:p>
    <w:tbl>
      <w:tblPr>
        <w:tblW w:w="10205" w:type="dxa"/>
        <w:jc w:val="left"/>
        <w:tblInd w:w="0" w:type="dxa"/>
        <w:tblLayout w:type="fixed"/>
        <w:tblCellMar>
          <w:top w:w="28" w:type="dxa"/>
          <w:left w:w="28" w:type="dxa"/>
          <w:bottom w:w="28" w:type="dxa"/>
          <w:right w:w="28" w:type="dxa"/>
        </w:tblCellMar>
      </w:tblPr>
      <w:tblGrid>
        <w:gridCol w:w="938"/>
        <w:gridCol w:w="656"/>
        <w:gridCol w:w="659"/>
        <w:gridCol w:w="211"/>
        <w:gridCol w:w="406"/>
        <w:gridCol w:w="109"/>
        <w:gridCol w:w="109"/>
        <w:gridCol w:w="109"/>
        <w:gridCol w:w="109"/>
        <w:gridCol w:w="211"/>
        <w:gridCol w:w="656"/>
        <w:gridCol w:w="109"/>
        <w:gridCol w:w="109"/>
        <w:gridCol w:w="109"/>
        <w:gridCol w:w="109"/>
        <w:gridCol w:w="211"/>
        <w:gridCol w:w="406"/>
        <w:gridCol w:w="109"/>
        <w:gridCol w:w="109"/>
        <w:gridCol w:w="109"/>
        <w:gridCol w:w="109"/>
        <w:gridCol w:w="211"/>
        <w:gridCol w:w="656"/>
        <w:gridCol w:w="109"/>
        <w:gridCol w:w="109"/>
        <w:gridCol w:w="109"/>
        <w:gridCol w:w="109"/>
        <w:gridCol w:w="305"/>
        <w:gridCol w:w="914"/>
        <w:gridCol w:w="158"/>
        <w:gridCol w:w="109"/>
        <w:gridCol w:w="109"/>
        <w:gridCol w:w="109"/>
        <w:gridCol w:w="324"/>
        <w:gridCol w:w="969"/>
        <w:gridCol w:w="243"/>
      </w:tblGrid>
      <w:tr>
        <w:trPr/>
        <w:tc>
          <w:tcPr>
            <w:tcW w:w="93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2"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2"/>
        <w:gridCol w:w="549"/>
        <w:gridCol w:w="551"/>
        <w:gridCol w:w="211"/>
        <w:gridCol w:w="756"/>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57"/>
        <w:gridCol w:w="931"/>
        <w:gridCol w:w="132"/>
        <w:gridCol w:w="109"/>
        <w:gridCol w:w="109"/>
        <w:gridCol w:w="109"/>
        <w:gridCol w:w="280"/>
        <w:gridCol w:w="962"/>
        <w:gridCol w:w="212"/>
      </w:tblGrid>
      <w:tr>
        <w:trPr/>
        <w:tc>
          <w:tcPr>
            <w:tcW w:w="81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noncurrent portion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Acquisitions and Divestitures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Company acquired various oil and natural gas properties.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2023, the Company closed on an acquisition treated as a business combination where it received proved developed producing oil and natural gas properties with approximately 281 net acres. The properties are located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Eagle Ford and DJ basins. As consideration for the acquisition, the Company paid $8.5 million in cash. Asset retirement obligations acquired were $0.2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other acquisitions during the nine months ended September 30, 2023 qualified as asset acquisitions. These included the following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Basin - During the nine months ended September 30, 2023, the Company closed on various acquisitions of unproved oil and natural gas properties for a total purchase price of $22.8 million in the Permian Basin.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DJ Basin - During the nine months ended September 30, 2023, the Company closed on an acquisition of proved developed producing oil and natural gas properties in the DJ Basin. As consideration for the entire acquisition, the Company paid $17.4 million in cash, of which $1.9 million was held in escrow and paid during 2022. Asset retirement obligations acquired were $0.9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Eagle Ford Basin - During the nine months ended September 30, 2023, the Company acquired proved oil and natural gas properties in the Eagle Ford Basin for $0.5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Haynesville Basin - During the nine months ended September 30, 2023, the Company acquired various proved and unproved oil and natural gas properties in the Haynesville Basin for $2.1 million.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2022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Basin - During the nine months ended September 30, 2022, the Company closed on various asset acquisitions of proved oil and natural gas properties for $7.6 million and unproved oil and natural gas properties for $17.7 million in the Permian Basin.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Bakken Basin - During the nine months ended September 30, 2022, the Company closed on an asset acquisition of proved oil and natural gas properties in the Bakken Basin for $1.6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DJ Basin - During the nine months ended September 30, 2022, the Company closed on asset acquisitions of unproved oil and natural gas properties in the DJ Basin for $2.9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Haynesville Basin - During the nine months ended September 30, 2022, the Company closed on an asset acquisition of proved oil and natural gas properties in the Haynesville Basin for $3.0 million.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2022 Divestitures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Eagle Ford Basin - During the nine months ended September 30, 2022, the Company sold a partial unit of oil and natural gas properties in the Eagle Ford Basin for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Stock Incentive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Transactions, the Company’s Board of Directors adopted the Granite Ridge Resources, Inc. 2022 Omnibus Incentive Plan (the “Plan”), which provides for granting, among others, stock options, restricted stock awards, PSUs and other awards to directors, officers, employees and consultants or advisors employed by or providing service to the Company.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issued restricted stock awards, stock awards, stock options, and PSUs. Stock-based compensation expense during the three and nine months ended September 30, 2023 was $0.4 million and $1.8 million, respectively.</w:t>
      </w:r>
    </w:p>
    <w:p>
      <w:pPr>
        <w:pStyle w:val="TextBody"/>
        <w:bidi w:val="0"/>
        <w:spacing w:lineRule="auto" w:line="288" w:before="240" w:after="283"/>
        <w:jc w:val="both"/>
        <w:rPr/>
      </w:pPr>
      <w:r>
        <w:rPr>
          <w:rFonts w:ascii="Times New Roman;sans-serif" w:hAnsi="Times New Roman;sans-serif"/>
          <w:b w:val="false"/>
          <w:i/>
          <w:color w:val="000000"/>
          <w:sz w:val="20"/>
        </w:rPr>
        <w:t>Restricted Stock Awards</w:t>
      </w:r>
      <w:r>
        <w:rPr>
          <w:color w:val="000000"/>
        </w:rPr>
        <w:t xml:space="preserve"> </w:t>
      </w:r>
      <w:r>
        <w:rPr>
          <w:rFonts w:ascii="Times New Roman;sans-serif" w:hAnsi="Times New Roman;sans-serif"/>
          <w:b w:val="false"/>
          <w:color w:val="000000"/>
          <w:sz w:val="20"/>
        </w:rPr>
        <w:t xml:space="preserve">- The Company may award restricted stock to its employees and consultants under the Plan. All restricted shares are legally issued and outstanding. If an employee terminates employment prior to the restriction lapse date, the awarded shares are forfeited and canceled and are no longer considered issued and outstanding. The holders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restricted stock awards have voting rights and the right to receive dividends. The restricted stock awards generally vest over a period of three years. </w:t>
      </w:r>
    </w:p>
    <w:p>
      <w:pPr>
        <w:pStyle w:val="TextBody"/>
        <w:bidi w:val="0"/>
        <w:spacing w:lineRule="auto" w:line="288" w:before="240" w:after="283"/>
        <w:jc w:val="both"/>
        <w:rPr/>
      </w:pPr>
      <w:r>
        <w:rPr>
          <w:rFonts w:ascii="Times New Roman;sans-serif" w:hAnsi="Times New Roman;sans-serif"/>
          <w:b w:val="false"/>
          <w:i/>
          <w:color w:val="000000"/>
          <w:sz w:val="20"/>
        </w:rPr>
        <w:t>PSUs</w:t>
      </w:r>
      <w:r>
        <w:rPr>
          <w:color w:val="000000"/>
        </w:rPr>
        <w:t xml:space="preserve"> </w:t>
      </w:r>
      <w:r>
        <w:rPr>
          <w:rFonts w:ascii="Times New Roman;sans-serif" w:hAnsi="Times New Roman;sans-serif"/>
          <w:b w:val="false"/>
          <w:color w:val="000000"/>
          <w:sz w:val="20"/>
        </w:rPr>
        <w:t xml:space="preserve">- The Company may award PSUs to its employees and consultants under the Plan. The PSUs vest over a period of approximately three years with the total number of shares determined based upon certain performance criteria. Under the terms of our PSU grants, awards are granted to certain officers and are subject to “financial performance” and “market performance” criteria for the Company and to individual performance criteria for the officers awarded PSUs. Financial performance is based on the Company’s financial performance at the end of the performance period, while market performance is based on the relative standing of total shareholder return achieved by the Company compared to a predetermined group of peer companies at the end of the performance period. Individual performance criteria is based on the officers’ performance relative to individual performance goals at the end of the performance period. The number of shares ultimately issued under these awards can range from zero to 200% of target award amounts. </w:t>
      </w:r>
    </w:p>
    <w:p>
      <w:pPr>
        <w:pStyle w:val="TextBody"/>
        <w:bidi w:val="0"/>
        <w:spacing w:lineRule="auto" w:line="288" w:before="240" w:after="283"/>
        <w:jc w:val="both"/>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 The Company may award stock options to its employees and consultants under the Plan. The Company’s outstanding stock options have been granted to certain officers and expire in 10 years following the date of grant. Pursuant to the stock options granted under the Plan, 33% of the options vested immediately with an additional 33% to vest on each of the next two anniversaries of the date of the grant. Of the stock options granted during 2023, 72,108 of the stock options have an exercise price per share of $5.02, and 320,000 of the stock options have an exercise price per share of $9.22.</w:t>
      </w:r>
    </w:p>
    <w:p>
      <w:pPr>
        <w:pStyle w:val="TextBody"/>
        <w:bidi w:val="0"/>
        <w:spacing w:lineRule="auto" w:line="288" w:before="240" w:after="283"/>
        <w:jc w:val="both"/>
        <w:rPr/>
      </w:pPr>
      <w:r>
        <w:rPr>
          <w:rFonts w:ascii="Times New Roman;sans-serif" w:hAnsi="Times New Roman;sans-serif"/>
          <w:b w:val="false"/>
          <w:i/>
          <w:color w:val="000000"/>
          <w:sz w:val="20"/>
        </w:rPr>
        <w:t xml:space="preserve">Other Awards </w:t>
      </w:r>
      <w:r>
        <w:rPr>
          <w:rFonts w:ascii="Times New Roman;sans-serif" w:hAnsi="Times New Roman;sans-serif"/>
          <w:b w:val="false"/>
          <w:color w:val="000000"/>
          <w:sz w:val="20"/>
        </w:rPr>
        <w:t>- The Company may issue other awards to its employees and consultants under the Plan. During the first quarter of 2023, the Company issued 94,007 fully vested stock awards as other awards under the Plan. Weighted average grant date fair value of other awards was $8.51.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activity under the Plan for the restricted stock awards, PSUs and stock options for the nine months ended September 30, 2023 is presented below:</w:t>
      </w:r>
    </w:p>
    <w:tbl>
      <w:tblPr>
        <w:tblW w:w="10205" w:type="dxa"/>
        <w:jc w:val="left"/>
        <w:tblInd w:w="0" w:type="dxa"/>
        <w:tblLayout w:type="fixed"/>
        <w:tblCellMar>
          <w:top w:w="28" w:type="dxa"/>
          <w:left w:w="28" w:type="dxa"/>
          <w:bottom w:w="28" w:type="dxa"/>
          <w:right w:w="28" w:type="dxa"/>
        </w:tblCellMar>
      </w:tblPr>
      <w:tblGrid>
        <w:gridCol w:w="1670"/>
        <w:gridCol w:w="1466"/>
        <w:gridCol w:w="1474"/>
        <w:gridCol w:w="474"/>
        <w:gridCol w:w="1149"/>
        <w:gridCol w:w="246"/>
        <w:gridCol w:w="109"/>
        <w:gridCol w:w="109"/>
        <w:gridCol w:w="109"/>
        <w:gridCol w:w="481"/>
        <w:gridCol w:w="1169"/>
        <w:gridCol w:w="251"/>
        <w:gridCol w:w="109"/>
        <w:gridCol w:w="109"/>
        <w:gridCol w:w="109"/>
        <w:gridCol w:w="282"/>
        <w:gridCol w:w="680"/>
        <w:gridCol w:w="209"/>
      </w:tblGrid>
      <w:tr>
        <w:trPr/>
        <w:tc>
          <w:tcPr>
            <w:tcW w:w="167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(1)</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261,406 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Weighted average grant date fair value per share/unit</w:t>
            </w:r>
          </w:p>
        </w:tc>
        <w:tc>
          <w:tcPr>
            <w:tcW w:w="47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7.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Company became the sole owner of GREP. GREP is a disregarded entity for U.S. federal income tax purposes. Prior to the Business Combination, GREP and the associated activities held by the Funds were treated as partnerships for U.S. federal income tax purposes and were not subject to U.S. federal income tax. Any taxable income or loss generated prior to the Business Combination was passed through to and included in the taxable income or loss of its members. As a result of the Business Combination, the Funds’ net assets were transferred to the Company resulting in carryover tax basis of those assets. The Company is a C corporation and subject to U.S. federal income tax and state and local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income taxes through the use of an estimated annual effective tax rate and specific events that are discretely recognized as they occur. For the three and nine months ended September 30, 2023, the Company recorded an income tax expense of $5.2 million and $20.1 million, respectively. </w:t>
      </w:r>
    </w:p>
    <w:p>
      <w:pPr>
        <w:pStyle w:val="TextBody"/>
        <w:bidi w:val="0"/>
        <w:spacing w:lineRule="auto" w:line="288" w:before="240" w:after="283"/>
        <w:jc w:val="both"/>
        <w:rPr/>
      </w:pPr>
      <w:r>
        <w:rPr>
          <w:rFonts w:ascii="Times New Roman;sans-serif" w:hAnsi="Times New Roman;sans-serif"/>
          <w:b w:val="false"/>
          <w:color w:val="000000"/>
          <w:sz w:val="20"/>
        </w:rPr>
        <w:t>At the end of each interim period, the Company applies an estimated annualized effective tax rate to the current period income or loss before income taxes, which can produce interim effective tax rate fluctuations. The Company’s effective income tax rate was 22.3% and 24.0% for the three and nine months ended September 30, 2023, respectively</w:t>
      </w:r>
      <w:r>
        <w:rPr>
          <w:rFonts w:ascii="Times New Roman;sans-serif" w:hAnsi="Times New Roman;sans-serif"/>
          <w:b w:val="false"/>
          <w:color w:val="000000"/>
          <w:sz w:val="20"/>
          <w:shd w:fill="FFFFFF" w:val="clear"/>
        </w:rPr>
        <w:t xml:space="preserve">. The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tax rate differs from the enacted statutory rate of 21% primarily due to the impact of certain discrete items and state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all tax positions for which the statute of limitations remains open and believes that the material positions taken would more likely than not be sustained upon examination. Therefore, as of September 30, 2023 and December 31, 2022, the Company had no unrecognized tax benefits and did not recognize any interest or penalties during those respective periods related to unrecognized tax benefits.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(the “IRA”) was enacted into law and includes significant changes related to tax, climate change, energy and health care. The provisions within IRA, among other things, include (i) a new 15% corporate alternative minimum tax on certain large corporations, (ii) a new nondeductible 1% excise tax on the value of certain stock that a company repurchases, and (iii) various tax incentives for energy and climate initiatives. Each of these provisions are effective for tax years beginning after December 31, 2022. The Department of Treasury is expected to publish regulations relevant to many aspects of the IRA. The Company is currently awaiting such guidance and continues to evaluate the effect of the new law to its future cash flows and financial results. The Company currently expects no impact of the corporate alternative minimum tax on income tax expense for the 2023 tax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total debt was $85.0 million at September 30, 2023. We had no debt outstanding at December 31,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Granite Ridge Credit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Granite Ridge entered into a senior secured revolving credit agreement (the “Credit Agreement”) among Granite Ridge, as borrower, Texas Capital Bank, as administrative agent, and the lenders from time to time party thereto. The Credit Agreement has a maturity date of five years from the effective date thereof.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initially provided for aggregate elected commitments of $150.0 million, a borrowing base of $325.0 million and an aggregate maximum revolving credit amount of $1.0 billion. The borrowing base is scheduled to be redetermined semiannually on or about April 1 and October 1 of each calendar year, and is subject to additional adjustments from time to time, including for asset sales, elimination or reduction of hedge positions and incurrence of other debt. On November 7, 2023, Granite Ridge amended the Credit Agreement which, among other things, decreased the borrowing base from $325.0 million to $275.0 million and provided for aggregate elected commitments of $240.0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the Required Lenders (as defined in the Credit Agreement) may each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Granite Ridge is able to borrow under the Credit Agreement is subject to compliance with the financial covenants, satisfaction of various conditions precedent to borrowing, and other provisions of the Credit Agreement.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we had outstanding borrowings of $85.0 million and $0.3 million of letters of credit issued and outstanding under the Credit Agreement, resulting in availability of $64.7 million. The Credit Agreement is guaranteed by the restricted subsidiaries of Granite Ridge and is secured by a first priority mortgage and security interest in substantially all assets of the Company and of its restricted subsidiaries.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may be base rate loans or secured overnight financing rate (“SOFR”) loans. Interest for base rate loans and SOFR loans is payable at the end of the applicable interest period. Prior to the Credit Agreement amendment on November 7, 2023, SOFR loans accrued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accrued interest at a rate per annum equal to the greatest of: (i) the U.S. prime rate as published by the Wall Street Journal; (ii) the federal funds effective rate plus 50 basis points; and (iii) the adjusted SOFR rate for a one-month interest period plus 100 basis points, plus an applicable margin ranging from 150 to 250 basis points, depending on the percentage of the borrowing base utilized.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Credit Agreement amendment on November 7, 2023, SOFR loans now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now bear interest at a rate per annum equal to the greatest of: (i) the U.S. prime rate as published by the Wall Street Journal; (ii) the federal funds effective rate plus 50 basis points; and (iii) the adjusted SOFR rate for a one-month interest period plus 100 basis points, plus an applicable margin ranging from 200 to 300 basis points, depending on the percentage of the borrowing base utilized.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pay a commitment fee on unused elected commitment amounts under our facility of 50 basis points. We may repay any amounts borrowed under the Credit Agreement prior to the maturity date without any premium or penalty.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of not greater than 3.00 to 1.00 as of the last day of each fiscal quarter,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of not less than 1.00 to 1.00 as of the last day of each fiscal quarter.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was in compliance with all financial covenants required by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Equity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periods prior to October 24, 2022 reflect Granite Ridge as a limited partnership, not a corporation.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date of the Transactions, the capital of the Funds consisted of general partner interests and limited partner interests. The general partner interest was a management interest. The general partners of each of the Funds were granted full and complete power and authority to manage and conduct the business and affairs of the Funds and to take all such actions as they deemed necessary or appropriate to accomplish the purpose of the Funds. In connection with the Business Combination, the net assets of the Funds were transferred to GREP, which became a wholly-owned subsidiary of Granite Ridge. For additional information regarding the Business Combination, see Note 1. </w:t>
      </w:r>
    </w:p>
    <w:p>
      <w:pPr>
        <w:pStyle w:val="TextBody"/>
        <w:bidi w:val="0"/>
        <w:spacing w:lineRule="auto" w:line="288" w:before="240" w:after="283"/>
        <w:jc w:val="both"/>
        <w:rPr/>
      </w:pPr>
      <w:r>
        <w:rPr>
          <w:rFonts w:ascii="Times New Roman;sans-serif" w:hAnsi="Times New Roman;sans-serif"/>
          <w:b w:val="false"/>
          <w:i/>
          <w:color w:val="000000"/>
          <w:sz w:val="20"/>
        </w:rPr>
        <w:t>Warrant Exchange</w:t>
      </w:r>
      <w:r>
        <w:rPr>
          <w:color w:val="000000"/>
        </w:rPr>
        <w:t xml:space="preserve"> </w:t>
      </w:r>
      <w:r>
        <w:rPr>
          <w:rFonts w:ascii="Times New Roman;sans-serif" w:hAnsi="Times New Roman;sans-serif"/>
          <w:b w:val="false"/>
          <w:color w:val="000000"/>
          <w:sz w:val="20"/>
        </w:rPr>
        <w:t>- On June 22, 2023, the Company completed an Offer to holders of its outstanding warrants which provided such holders the opportunity to receive 0.25 shares of the Company’s common stock in exchange for each warrant tendered by such holders. This Offer coincided with a solicitation of consents from holders of the warrants to amend the warrant agreement to permit the Company to require that each warrant that remained outstanding upon the closing of the Offer be exchanged for 0.225 shares of the Company’s common stock.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exchanged in the Offer were marked to fair value on the date of settlement, which was recorded in Loss on derivatives - common stock warrants on the condensed consolidated statements of operations. Upon exchange, the liability of $17.0 million and $0.7 million related to the exchanged common stock warrants in June 2023 and July 2023, respectively, was removed from the condensed consolidated balance sheet and the issuance of shares of the Company’s common stock was reflected in stockholders’ equity.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$2.5 million of costs directly related to the Warrant Exchange, consisting primarily of professional, legal, printing, filing, regulatory, and other costs. The costs were recorded in General and administrative expenses on the condensed consolidated statements of operations for the nine months ended September 30, 2023.</w:t>
      </w:r>
    </w:p>
    <w:p>
      <w:pPr>
        <w:pStyle w:val="TextBody"/>
        <w:bidi w:val="0"/>
        <w:spacing w:lineRule="auto" w:line="288" w:before="240" w:after="283"/>
        <w:jc w:val="both"/>
        <w:rPr/>
      </w:pPr>
      <w:r>
        <w:rPr>
          <w:rFonts w:ascii="Times New Roman;sans-serif" w:hAnsi="Times New Roman;sans-serif"/>
          <w:b w:val="false"/>
          <w:i/>
          <w:color w:val="000000"/>
          <w:sz w:val="20"/>
        </w:rPr>
        <w:t>Common Stock Dividends</w:t>
      </w:r>
      <w:r>
        <w:rPr>
          <w:color w:val="000000"/>
        </w:rPr>
        <w:t xml:space="preserve"> </w:t>
      </w:r>
      <w:r>
        <w:rPr>
          <w:rFonts w:ascii="Times New Roman;sans-serif" w:hAnsi="Times New Roman;sans-serif"/>
          <w:b w:val="false"/>
          <w:color w:val="000000"/>
          <w:sz w:val="20"/>
        </w:rPr>
        <w:t>- The Company paid dividends of $14.8 million, or $0.11 per share, and $44.1 million, or $0.33 per share during the three and nine months ended September 30, 2023, respectively. Any payment of future dividends will be at the discretion of the Company’s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pPr>
      <w:r>
        <w:rPr>
          <w:rFonts w:ascii="Times New Roman;sans-serif" w:hAnsi="Times New Roman;sans-serif"/>
          <w:b w:val="false"/>
          <w:i/>
          <w:color w:val="000000"/>
          <w:sz w:val="20"/>
        </w:rPr>
        <w:t>Stock Repurchase Program</w:t>
      </w:r>
      <w:r>
        <w:rPr>
          <w:color w:val="000000"/>
        </w:rPr>
        <w:t xml:space="preserve"> </w:t>
      </w:r>
      <w:r>
        <w:rPr>
          <w:rFonts w:ascii="Times New Roman;sans-serif" w:hAnsi="Times New Roman;sans-serif"/>
          <w:b w:val="false"/>
          <w:color w:val="000000"/>
          <w:sz w:val="20"/>
        </w:rPr>
        <w:t>- In December 2022, the Company announced that its Board of Directors approved a stock repurchase program for up to $50.0 million of the Company’s common stock through December 31, 2023. Under the stock repurchase program, the Company can repurchase shares of its common stock from time to time in open market transactions or in privately negotiated transactions as permitted under applicable rules and regulations. The Board of Directors of the Company may limit or terminate the stock repurchase program at any time without prior notice, but, with no further action of the Board of Directors of the Company, the stock repurchase program will terminate on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Company repurchased 868,726 and 1,802,311 shares under the program at an aggregate cost of $6.3 million and $12.1 million, respectively. As of September 30, 2023, the Company had repurchased a total of 1,828,231 shares since the inception of the program at an aggregate cost of $12.3 million. The extent to which the Company repurchases its shares of common stock, and the timing of such repurchases, will depend upon market conditions and other considerations as may be considered in the Company’s sole discretion.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Vesting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495,357 shares of Class F common stock of ENPC were converted into 1,238,393 shares of Class A common stock of ENPC, 371,518 of which became subject to certain vesting and forfeiture provisions upon their conversion to the Company’s common stock in accordance with the Business Combination Agreement (the “Vesting Shares”). Based on an assessment of the Vesting Shares, the Company considered ASC 480 and accounted for the Vesting Shares as a liability. The Company recorded a liability related to the Vesting Shares of $1.3 million as of December 31, 2022. In January 2023, the Company reversed this liability and the related additional paid-in capital when 151,170 of these shares vested. The remaining shares were forfeited.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of the Business Combination, Grey Rock Administration, LLC (the “Manager”) entered into a Management Services Agreement with Granite Ridge (the “MSA”). Under the MSA, the Manager will provide general management, administrative, and operating services covering the oil and gas assets and other properties of the Company and other day-to-day business and affairs of the Company. In accordance with the MSA, the Company shall pay the Manager an annual services fee of $10.0 million and shall reimburse the Manager for certain Granite Ridge group costs related to the operation of the Company’s assets (including for third 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 For the three and nine months ended September 30, 2023, service fees for the Company under the MSA were $2.5 million and $7.5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Transactions, the Funds paid management fees to an investment advisor under common control with the Funds as compensation for providing managerial services to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2022, total management fees for the Company were $1.5 million and $4.5 million,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and management fee are included in general and administrative expenses within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Risk Concentrations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pStyle w:val="TextBody"/>
        <w:bidi w:val="0"/>
        <w:spacing w:lineRule="auto" w:line="288" w:before="240" w:after="283"/>
        <w:jc w:val="both"/>
        <w:rPr/>
      </w:pPr>
      <w:r>
        <w:rPr>
          <w:rFonts w:ascii="Times New Roman;sans-serif" w:hAnsi="Times New Roman;sans-serif"/>
          <w:b w:val="false"/>
          <w:i/>
          <w:color w:val="000000"/>
          <w:sz w:val="20"/>
        </w:rPr>
        <w:t>Derivative Counterparties</w:t>
      </w:r>
      <w:r>
        <w:rPr>
          <w:color w:val="000000"/>
        </w:rPr>
        <w:t xml:space="preserve"> </w:t>
      </w:r>
      <w:r>
        <w:rPr>
          <w:rFonts w:ascii="Times New Roman;sans-serif" w:hAnsi="Times New Roman;sans-serif"/>
          <w:b w:val="false"/>
          <w:color w:val="000000"/>
          <w:sz w:val="20"/>
        </w:rPr>
        <w:t xml:space="preserve">- The Company uses credit and other financial criteria to evaluate the creditworthiness of counterparties to its derivative instruments. The Company believes that all of its derivative counterparties are currently acceptable credit risks. </w:t>
      </w:r>
      <w:r>
        <w:rPr>
          <w:rFonts w:ascii="Times New Roman;sans-serif" w:hAnsi="Times New Roman;sans-serif"/>
          <w:b w:val="false"/>
          <w:color w:val="000000"/>
          <w:sz w:val="20"/>
          <w:shd w:fill="FFFFFF" w:val="clear"/>
        </w:rPr>
        <w:t>All of the Company’s outstanding derivative instruments are covered by either International Swap Dealers Association Master Agreements (“ISDAs”) entered into with parties that are also lenders under the Company’s Credit Agreement or parties under the intercreditor agreement related to the Credit Agreement. The Company’s obligation under the derivative instruments are secured pursuant to the Credit Agreement, and no additional collateral had been posted by the Company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two-class method of calculating earnings per share because certain of the Company’s unvested stock-based awards qualify as participating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basic and diluted earnings per share computations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247"/>
        <w:gridCol w:w="863"/>
        <w:gridCol w:w="869"/>
        <w:gridCol w:w="283"/>
        <w:gridCol w:w="970"/>
        <w:gridCol w:w="146"/>
        <w:gridCol w:w="146"/>
        <w:gridCol w:w="146"/>
        <w:gridCol w:w="146"/>
        <w:gridCol w:w="283"/>
        <w:gridCol w:w="970"/>
        <w:gridCol w:w="146"/>
        <w:gridCol w:w="141"/>
        <w:gridCol w:w="141"/>
        <w:gridCol w:w="141"/>
        <w:gridCol w:w="276"/>
        <w:gridCol w:w="945"/>
        <w:gridCol w:w="142"/>
        <w:gridCol w:w="142"/>
        <w:gridCol w:w="142"/>
        <w:gridCol w:w="142"/>
        <w:gridCol w:w="276"/>
        <w:gridCol w:w="1083"/>
        <w:gridCol w:w="142"/>
        <w:gridCol w:w="109"/>
        <w:gridCol w:w="168"/>
      </w:tblGrid>
      <w:tr>
        <w:trPr/>
        <w:tc>
          <w:tcPr>
            <w:tcW w:w="1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per share data)</w:t>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basic earnings (a)</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attributable to common stockholders</w:t>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participating earnings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attributable to common stockholders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performance stock units</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stock options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133,440 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928"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Warrant Exchange, the warrants were out-of-the-money and were not included in the computation of the diluted earnings per share. As a result of the Warrant Exchange, no warrants remained outstanding at September 30, 2023. The following table is a summary of the PSUs and stock options, which were not included in the computation of diluted earnings per share, as inclusion of these items would be antidilutive. </w:t>
      </w:r>
    </w:p>
    <w:tbl>
      <w:tblPr>
        <w:tblW w:w="9752" w:type="dxa"/>
        <w:jc w:val="left"/>
        <w:tblInd w:w="0" w:type="dxa"/>
        <w:tblLayout w:type="fixed"/>
        <w:tblCellMar>
          <w:top w:w="28" w:type="dxa"/>
          <w:left w:w="28" w:type="dxa"/>
          <w:bottom w:w="28" w:type="dxa"/>
          <w:right w:w="28" w:type="dxa"/>
        </w:tblCellMar>
      </w:tblPr>
      <w:tblGrid>
        <w:gridCol w:w="1204"/>
        <w:gridCol w:w="1060"/>
        <w:gridCol w:w="1066"/>
        <w:gridCol w:w="572"/>
        <w:gridCol w:w="298"/>
        <w:gridCol w:w="298"/>
        <w:gridCol w:w="298"/>
        <w:gridCol w:w="298"/>
        <w:gridCol w:w="298"/>
        <w:gridCol w:w="298"/>
        <w:gridCol w:w="298"/>
        <w:gridCol w:w="298"/>
        <w:gridCol w:w="109"/>
        <w:gridCol w:w="109"/>
        <w:gridCol w:w="109"/>
        <w:gridCol w:w="572"/>
        <w:gridCol w:w="288"/>
        <w:gridCol w:w="288"/>
        <w:gridCol w:w="288"/>
        <w:gridCol w:w="288"/>
        <w:gridCol w:w="288"/>
        <w:gridCol w:w="288"/>
        <w:gridCol w:w="288"/>
        <w:gridCol w:w="288"/>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antidilutive common shares:</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stock units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378,067 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271,788 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common shares</w:t>
            </w:r>
          </w:p>
        </w:tc>
        <w:tc>
          <w:tcPr>
            <w:tcW w:w="8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399,074 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289,477 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Agreement Amendment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7, 2023, Granite Ridge amended the Credit Agreement which, among other things, decreased the borrowing base from $325.0 million to $275.0 million and provided for aggregate elected commitments of $240.0 million, and amended the applicable margin charged on the loans and other obligations under the Credit Agreement. See Note 8 for additional information. </w:t>
      </w:r>
    </w:p>
    <w:p>
      <w:pPr>
        <w:pStyle w:val="TextBody"/>
        <w:bidi w:val="0"/>
        <w:spacing w:lineRule="auto" w:line="288" w:before="240" w:after="283"/>
        <w:jc w:val="both"/>
        <w:rPr/>
      </w:pPr>
      <w:r>
        <w:rPr>
          <w:rFonts w:ascii="Times New Roman;sans-serif" w:hAnsi="Times New Roman;sans-serif"/>
          <w:b w:val="false"/>
          <w:i/>
          <w:color w:val="000000"/>
          <w:sz w:val="20"/>
        </w:rPr>
        <w:t>New commodity derivative contracts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September 30, 2023, the Company entered into the following derivative contracts to hedge additional amounts of estimated future production:</w:t>
      </w:r>
    </w:p>
    <w:tbl>
      <w:tblPr>
        <w:tblW w:w="7852" w:type="dxa"/>
        <w:jc w:val="left"/>
        <w:tblInd w:w="0" w:type="dxa"/>
        <w:tblLayout w:type="fixed"/>
        <w:tblCellMar>
          <w:top w:w="28" w:type="dxa"/>
          <w:left w:w="28" w:type="dxa"/>
          <w:bottom w:w="28" w:type="dxa"/>
          <w:right w:w="28" w:type="dxa"/>
        </w:tblCellMar>
      </w:tblPr>
      <w:tblGrid>
        <w:gridCol w:w="1456"/>
        <w:gridCol w:w="932"/>
        <w:gridCol w:w="941"/>
        <w:gridCol w:w="109"/>
        <w:gridCol w:w="109"/>
        <w:gridCol w:w="109"/>
        <w:gridCol w:w="109"/>
        <w:gridCol w:w="109"/>
        <w:gridCol w:w="109"/>
        <w:gridCol w:w="109"/>
        <w:gridCol w:w="109"/>
        <w:gridCol w:w="236"/>
        <w:gridCol w:w="572"/>
        <w:gridCol w:w="123"/>
        <w:gridCol w:w="109"/>
        <w:gridCol w:w="109"/>
        <w:gridCol w:w="109"/>
        <w:gridCol w:w="249"/>
        <w:gridCol w:w="727"/>
        <w:gridCol w:w="109"/>
        <w:gridCol w:w="109"/>
        <w:gridCol w:w="109"/>
        <w:gridCol w:w="109"/>
        <w:gridCol w:w="211"/>
        <w:gridCol w:w="616"/>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Supplementary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Costs</w:t>
      </w:r>
    </w:p>
    <w:tbl>
      <w:tblPr>
        <w:tblW w:w="8155" w:type="dxa"/>
        <w:jc w:val="left"/>
        <w:tblInd w:w="0" w:type="dxa"/>
        <w:tblLayout w:type="fixed"/>
        <w:tblCellMar>
          <w:top w:w="28" w:type="dxa"/>
          <w:left w:w="28" w:type="dxa"/>
          <w:bottom w:w="28" w:type="dxa"/>
          <w:right w:w="28" w:type="dxa"/>
        </w:tblCellMar>
      </w:tblPr>
      <w:tblGrid>
        <w:gridCol w:w="1716"/>
        <w:gridCol w:w="1509"/>
        <w:gridCol w:w="1514"/>
        <w:gridCol w:w="251"/>
        <w:gridCol w:w="1164"/>
        <w:gridCol w:w="130"/>
        <w:gridCol w:w="109"/>
        <w:gridCol w:w="109"/>
        <w:gridCol w:w="109"/>
        <w:gridCol w:w="273"/>
        <w:gridCol w:w="1072"/>
        <w:gridCol w:w="199"/>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Oil and natural gas properties: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1,260,110 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depletion</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(496,452)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capitalized costs for oil and natural gas properties (1)</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815,173 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644,989 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Incurred for Oil and Natural Gas Producing Activities</w:t>
      </w:r>
    </w:p>
    <w:tbl>
      <w:tblPr>
        <w:tblW w:w="10205" w:type="dxa"/>
        <w:jc w:val="left"/>
        <w:tblInd w:w="0" w:type="dxa"/>
        <w:tblLayout w:type="fixed"/>
        <w:tblCellMar>
          <w:top w:w="28" w:type="dxa"/>
          <w:left w:w="28" w:type="dxa"/>
          <w:bottom w:w="28" w:type="dxa"/>
          <w:right w:w="28" w:type="dxa"/>
        </w:tblCellMar>
      </w:tblPr>
      <w:tblGrid>
        <w:gridCol w:w="1333"/>
        <w:gridCol w:w="1133"/>
        <w:gridCol w:w="1113"/>
        <w:gridCol w:w="419"/>
        <w:gridCol w:w="337"/>
        <w:gridCol w:w="339"/>
        <w:gridCol w:w="211"/>
        <w:gridCol w:w="211"/>
        <w:gridCol w:w="211"/>
        <w:gridCol w:w="419"/>
        <w:gridCol w:w="337"/>
        <w:gridCol w:w="339"/>
        <w:gridCol w:w="109"/>
        <w:gridCol w:w="109"/>
        <w:gridCol w:w="109"/>
        <w:gridCol w:w="407"/>
        <w:gridCol w:w="390"/>
        <w:gridCol w:w="391"/>
        <w:gridCol w:w="204"/>
        <w:gridCol w:w="204"/>
        <w:gridCol w:w="204"/>
        <w:gridCol w:w="407"/>
        <w:gridCol w:w="390"/>
        <w:gridCol w:w="391"/>
        <w:gridCol w:w="109"/>
        <w:gridCol w:w="109"/>
        <w:gridCol w:w="109"/>
        <w:gridCol w:w="161"/>
      </w:tblGrid>
      <w:tr>
        <w:trPr/>
        <w:tc>
          <w:tcPr>
            <w:tcW w:w="13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4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27,459</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24,053</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75,726</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233,071</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 for oil and natural gas properties</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95,149</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284,583</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Conditions and Results of Operations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in this “Management’s Discussion and Analysis of Financial Condition and Results of Operations” reflects the following: (1) as it pertains to periods prior to the completion of the Business Combination, the accounts of each of the Funds (as defined below) and all related wholly owned subsidiaries, and Granite Ridge Resources, Inc. For these periods, the Funds have been presented on a combined historical basis due to their prior common ownership and control; and (2) as it pertains to the periods subsequent to the completion of the Business Combination, the accounts of Granite Ridge Resources, Inc. as well as its wholly owned subsidiaries which include, Granite Ridge Holdings, LLC (formerly known as GREP Holdings, LLC) and Executive Network Partnership Corporation (“ENPC”), and all other subsidiaries created in connection with the Business Combination.</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 xml:space="preserve">The following discussion contains </w:t>
      </w:r>
      <w:r>
        <w:rPr>
          <w:color w:val="000000"/>
        </w:rPr>
        <w:t>“</w:t>
      </w:r>
      <w:r>
        <w:rPr>
          <w:rFonts w:ascii="Times New Roman;sans-serif" w:hAnsi="Times New Roman;sans-serif"/>
          <w:b w:val="false"/>
          <w:i/>
          <w:color w:val="000000"/>
          <w:sz w:val="20"/>
        </w:rPr>
        <w:t>forward</w:t>
      </w:r>
      <w:r>
        <w:rPr>
          <w:color w:val="000000"/>
        </w:rPr>
        <w:noBreakHyphen/>
      </w:r>
      <w:r>
        <w:rPr>
          <w:rFonts w:ascii="Times New Roman;sans-serif" w:hAnsi="Times New Roman;sans-serif"/>
          <w:b w:val="false"/>
          <w:i/>
          <w:color w:val="000000"/>
          <w:sz w:val="20"/>
        </w:rPr>
        <w:t>looking statements</w:t>
      </w:r>
      <w:r>
        <w:rPr>
          <w:color w:val="000000"/>
        </w:rPr>
        <w:t xml:space="preserve">” </w:t>
      </w:r>
      <w:r>
        <w:rPr>
          <w:rFonts w:ascii="Times New Roman;sans-serif" w:hAnsi="Times New Roman;sans-serif"/>
          <w:b w:val="false"/>
          <w:i/>
          <w:color w:val="000000"/>
          <w:sz w:val="20"/>
        </w:rPr>
        <w:t>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color w:val="000000"/>
        </w:rPr>
        <w:noBreakHyphen/>
      </w:r>
      <w:r>
        <w:rPr>
          <w:rFonts w:ascii="Times New Roman;sans-serif" w:hAnsi="Times New Roman;sans-serif"/>
          <w:b w:val="false"/>
          <w:i/>
          <w:color w:val="000000"/>
          <w:sz w:val="20"/>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noBreakHyphen/>
        <w:t>Looking Statements.” Also, please read the risk factors and other cautionary statements described under “Part I, Item 1A. Risk Factors” in our Annual Report on Form 10-K for the year ended December 31, 2022 and elsewhere in this report. We assume no obligation to update any of these forward</w:t>
        <w:noBreakHyphen/>
        <w:t>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is a scaled, non-operated oil and gas exploration and production company. We own a portfolio of interests in wells and acreage across the Permian and four other unconventional basins across the United States. Rather than drill wells ourselves, we increase asset diversity and decrease overhead by investing in a smaller piece of a larger number of high-graded wells drilled by proven public and private operators. As a non-operating partner, we pay our pro rata share of expenses related to operation of those wells, but we are not burdened by long-term contracts and drilling obligations common to operators.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results presented in this section consist of the historical results of the combined Funds (as defined below), which at the closing of the Business Combination effectively became the historical results of Granite Ridge. Quarterly information related to the Results of Operations for Granite Ridge for the three and nine months ended September 30, 2022 were derived from the unaudited consolidated financial statements of Grey Rock Energy Fund, L.P., a Delaware limited partnership (“Fund I”), and the unaudited combined financial statements of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Fund I, Fund II and Fund III are collectively referred to herein as the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the Business Combination See Note 1 in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Selected Factors That Affect Our Operating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cash flows from operations and future growth depend substantially upon: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timing and success of drilling and production activities by our operating partners;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prices and the supply and demand for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quantity of oil and natural gas production from the wells in which we participate;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changes in the fair value of the derivative instruments we use to reduce our exposure to fluctuations in the price of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our ability to continue to identify and acquire high-quality acreage and drilling opportunities;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level of our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factors that affect companies in our industry generally, the location of substantially all of our acreage in the Eagle Ford, Permian, Bakken, Haynesville and Denver-Julesburg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oil and natural gas can vary depending on the market in which it is sold and the means of transportation used to transport the oil and natural gas to market.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Conditions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commodity prices have been volatile, and we expect that volatility to continue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various quantities of oil and natural gas that we produce significantly impact our revenues and cash flows. The following table lists average NYMEX prices for oil and natural gas for the three and nine months ended September 30, 2023 and 2022.</w:t>
      </w:r>
    </w:p>
    <w:tbl>
      <w:tblPr>
        <w:tblW w:w="8767" w:type="dxa"/>
        <w:jc w:val="left"/>
        <w:tblInd w:w="0" w:type="dxa"/>
        <w:tblLayout w:type="fixed"/>
        <w:tblCellMar>
          <w:top w:w="28" w:type="dxa"/>
          <w:left w:w="28" w:type="dxa"/>
          <w:bottom w:w="28" w:type="dxa"/>
          <w:right w:w="28" w:type="dxa"/>
        </w:tblCellMar>
      </w:tblPr>
      <w:tblGrid>
        <w:gridCol w:w="847"/>
        <w:gridCol w:w="745"/>
        <w:gridCol w:w="748"/>
        <w:gridCol w:w="478"/>
        <w:gridCol w:w="285"/>
        <w:gridCol w:w="286"/>
        <w:gridCol w:w="247"/>
        <w:gridCol w:w="247"/>
        <w:gridCol w:w="247"/>
        <w:gridCol w:w="478"/>
        <w:gridCol w:w="285"/>
        <w:gridCol w:w="286"/>
        <w:gridCol w:w="109"/>
        <w:gridCol w:w="109"/>
        <w:gridCol w:w="109"/>
        <w:gridCol w:w="462"/>
        <w:gridCol w:w="285"/>
        <w:gridCol w:w="286"/>
        <w:gridCol w:w="238"/>
        <w:gridCol w:w="238"/>
        <w:gridCol w:w="238"/>
        <w:gridCol w:w="462"/>
        <w:gridCol w:w="285"/>
        <w:gridCol w:w="286"/>
        <w:gridCol w:w="109"/>
        <w:gridCol w:w="109"/>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NYMEX Prices (1)</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4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86"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average NYMEX closing prices.</w:t>
            </w:r>
          </w:p>
        </w:tc>
        <w:tc>
          <w:tcPr>
            <w:tcW w:w="481"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Events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2023, we completed an offer to holders of our outstanding warrants which provided such holders the opportunity to receive 0.25 shares of our common stock in exchange for each warrant tendered by such holders (the “Offer”). This Offer coincided with a solicitation of consents from holders of the warrants to amend the warrant agreement to permit the Company to require that each warrant that remained outstanding upon the closing of the Offer be exchanged for 0.225 shares of our common stock (together with the Offer, the “Warrant Exchange”). On June 22, 2023, we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See Note 9 in the Notes to Condensed Consolidated Financial Statements for further discussion of the Warrant Exchange.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Distribution and Voting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25, 2023, Fund III, which collectively owned a majority of the voting shares of our common stock, distributed an aggregate of 31,649,616 shares of our common stock, pro rata to its limited partners (the “Distribution”). As a result of the Distribution, Fund III’s aggregate ownership of shares of our common stock was reduced from approximately 71% to approximately 47% as of the date of the Distribution.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on August 25, 2023, Grey Rock Energy Partners GP III, L.P., a Delaware limited partnership (who has voting and dispositive power over Granite Ridge common stock owned by Fund III and certain of its affiliates) (“GREP GP III”), Grey Rock Energy Partners GP II, L.P., a Delaware limited partnership (who has voting and dispositive power over Granite Ridge common stock owned by Fund II) (“GREP GP II”), and Matthew Miller, Griffin Perry, Thaddeus Darden and Kirk Lazarine (collectively, the “Voting Agreement Parties”), entered into a Stockholder Voting Agreement (the “Voting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Voting Agreement, the Voting Agreement Parties irrevocably and unconditionally agreed to vote the 75,957,927 shares of our common stock which the Voting Agreement Parties then held (and any other shares of our common stock obtained by Voting Agreement Parties in the future) at any annual or special meeting of our stockholders or in connection with any written consent of our stockholders. The 75,957,927 shares held by the Voting Agreement Parties as of the date of the Voting Agreement constituted approximately 56.3% of the total outstanding shares of our common stock as of such date. The Voting Agreement continues indefinitely, but can be terminated on 30 days’ prior written notice by Voting Agreement Parties holding a majority of the shares of Granite Ridge common stock subject to the Voting Agreement. In connection with their entry into the Voting Agreement, the Voting Agreement Parties provided GREP GP III an irrevocable voting proxy to vote the shares subject to the Voting Agreement. Additionally, during the term of such agreement, the Voting Agreement Parties agreed not to transfer the shares covered by the Voting Agreement without the consent of GREP GP III, except pursuant to certain limited exceptions. Due to the Voting Agreement, GREP GP III, LLC, a Delaware limited liability company, the sole general partner of GREP GP III, has voting and dispositive power over a majority of the shares of the Company due to its ability to vote the outstanding shares of Granite Ridge common stock held by the Voting Agreement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Secondary Offering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15, 2023, we consummated an underwritten registered secondary offering (the “Secondary Offering”) of an aggregate of 8,165,000 shares of our common stock owned by GREP Holdco III-A, LLC and GREP Holdco III-B Holdings, LLC, each a Delaware limited liability company, at a price of $5.00 per share, pursuant to that certain Underwriting Agreement, dated September 12, 2023, among the Company, GREP Holdco III-A, LLC, GREP Holdco III-B Holdings, LLC, BofA Securities, Inc. and Evercore Group L.L.C. We did not sell any shares of our common stock in the Secondary Offering and did not receive any proceeds from the Secondary Offering.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summary production and operating data for the periods indicated. Because of normal production declines, increased or decreased drilling activities, fluctuations in commodity prices and the effects of acquisitions and divestitures, the historical information presented below should not be interpreted as being indicative of future results.</w:t>
      </w:r>
    </w:p>
    <w:tbl>
      <w:tblPr>
        <w:tblW w:w="10205" w:type="dxa"/>
        <w:jc w:val="left"/>
        <w:tblInd w:w="0" w:type="dxa"/>
        <w:tblLayout w:type="fixed"/>
        <w:tblCellMar>
          <w:top w:w="28" w:type="dxa"/>
          <w:left w:w="28" w:type="dxa"/>
          <w:bottom w:w="28" w:type="dxa"/>
          <w:right w:w="28" w:type="dxa"/>
        </w:tblCellMar>
      </w:tblPr>
      <w:tblGrid>
        <w:gridCol w:w="1294"/>
        <w:gridCol w:w="942"/>
        <w:gridCol w:w="945"/>
        <w:gridCol w:w="263"/>
        <w:gridCol w:w="867"/>
        <w:gridCol w:w="146"/>
        <w:gridCol w:w="146"/>
        <w:gridCol w:w="146"/>
        <w:gridCol w:w="146"/>
        <w:gridCol w:w="263"/>
        <w:gridCol w:w="867"/>
        <w:gridCol w:w="146"/>
        <w:gridCol w:w="138"/>
        <w:gridCol w:w="138"/>
        <w:gridCol w:w="138"/>
        <w:gridCol w:w="254"/>
        <w:gridCol w:w="957"/>
        <w:gridCol w:w="141"/>
        <w:gridCol w:w="141"/>
        <w:gridCol w:w="141"/>
        <w:gridCol w:w="141"/>
        <w:gridCol w:w="254"/>
        <w:gridCol w:w="957"/>
        <w:gridCol w:w="141"/>
        <w:gridCol w:w="109"/>
        <w:gridCol w:w="109"/>
        <w:gridCol w:w="109"/>
        <w:gridCol w:w="166"/>
      </w:tblGrid>
      <w:tr>
        <w:trPr/>
        <w:tc>
          <w:tcPr>
            <w:tcW w:w="129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Sales (in thousands):</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sales</w:t>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108,404 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136,966 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287,271 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381,082 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Production:</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(1)</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Daily Production:</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(Boe)</w:t>
            </w:r>
            <w:r>
              <w:rPr>
                <w:rFonts w:ascii="Times New Roman;sans-serif" w:hAnsi="Times New Roman;sans-serif"/>
                <w:b w:val="false"/>
                <w:color w:val="000000"/>
                <w:sz w:val="10"/>
              </w:rPr>
              <w:t>(1)</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Sales Prices:</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oil derivatives on average price (per Bbl)</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net of settled oil derivatives (per Bbl) (2)</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(per Mcf)</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natural gas derivatives on average price (per Mcf)</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net of settled natural gas derivatives (per Mcf) (2)</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excluding settled commodity derivatives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commodity derivatives on average price (per Boe)</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including settled commodity derivatives (2)</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 (in thousands):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16,935 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 (per Boe):</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Producing Wells at Period-End:</w:t>
            </w:r>
          </w:p>
        </w:tc>
        <w:tc>
          <w:tcPr>
            <w:tcW w:w="113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175.24 </w:t>
            </w:r>
          </w:p>
        </w:tc>
        <w:tc>
          <w:tcPr>
            <w:tcW w:w="1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123.84 </w:t>
            </w:r>
          </w:p>
        </w:tc>
        <w:tc>
          <w:tcPr>
            <w:tcW w:w="1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175.24 </w:t>
            </w:r>
          </w:p>
        </w:tc>
        <w:tc>
          <w:tcPr>
            <w:tcW w:w="1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123.84 </w:t>
            </w:r>
          </w:p>
        </w:tc>
        <w:tc>
          <w:tcPr>
            <w:tcW w:w="1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712"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(1)Natural gas is converted to Boe using the ratio of one barrel of oil to six Mcf of natural gas.</w:t>
            </w:r>
          </w:p>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presentation of realized prices including settled commodity derivatives is a result of including the net cash receipts from (payments on) commodity derivatives that are presented in our condensed consolidated statements of cash flows.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Oil and Natural Gas Sales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vary from year to year primarily due to changes in realized commodity prices and production volumes. Our oil and natural gas sales for the three months ended September 30, 2023 decreased 21% from the same period in 2022, driven by the decrease in realized prices, excluding the effect of settled commodity derivatives, partially offset by the increase in production. The lower average realized prices were driven by lower average NYMEX oil and natural gas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oil and natural gas sales for the nine months ended September 30, 2023 decreased 25% from the same period in 2022, driven by the decrease in realized prices, excluding the effect of settled commodity derivatives, partially offset by the increase in production. The lower average realized prices were driven by lower average NYMEX oil and natural gas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from oil and gas properties increased because of drilling success and the acquisition of additional net revenue interests. This increase in production is offset by the natural decline of the production rate of existing oil and natural gas wells. The number of wells we participated in increased from 123.84 net wells on September 30, 2022 to 175.24 net wells on September 30, 2023.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were $16.9 million ($6.96 per Boe) for the three months ended September 30, 2023, an increase of 37% from $12.3 million ($6.09 per Boe) during the same period in 2022. The increase was primarily due to an increase in well count due to acquisitions and additional wells successfully drilled and completed, higher repair and maintenance costs and overall increased cost of services. The increase in lease operating expenses per Boe was primarily due to higher repair and maintenance costs and saltwater disposal costs, partially offset by the increase in production.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were $45.1 million ($6.96 per Boe) for the nine months ended September 30, 2023, an increase of 49% from $30.3 million ($5.83 per Boe) during the same period in 2022. The increase was primarily due to an increase in well count due to acquisitions and additional wells successfully drilled and completed, higher repair and maintenance costs and overall increased cost of services. The increase in lease operating expenses per Boe was primarily due to higher saltwater disposal costs, repair and maintenance costs and workover activity, partially offset by the increase in production.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pay production taxes based on realized oil and natural gas sales. Production taxes were $7.1 million ($2.93 per Boe) for the three months ended September 30, 2023 compared to $7.7 million ($3.78 per Boe) during the same period in 2022. As a percentage of oil and natural gas sales, our production taxes were 7% and 6% during the three months ended September 30, 2023 and 2022,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were $17.9 million ($2.76 per Boe) for the nine months ended September 30, 2023 compared to $20.3 million ($3.92 per Boe) during the same period in 2022. As a percentage of oil and natural gas sales, our production taxes were 6% and 5% during the nine months ended September 30, 2023 and 2022,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taxes generally fluctuate with the market value of our production sold, while ad valorem taxes are generally based on the valuation of our oil and natural gas properties at the beginning of the year, which vary across the different areas in which we operate.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increased during both the three and nine months ended September 30, 2023 as compared to the same periods in 2022, primarily due to additional wells drilled and completed and new wells acquired.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Depletion and Accretion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was $44.3 million ($18.20 per Boe) for the three months ended September 30, 2023, an increase of 21% from $36.6 million ($18.06 per Boe) during the same period in 2022. The increase in depletion and accretion expense was primarily due to the increase in depletion expense resulting from the increase in production and depletion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was $113.1 million ($17.45 per Boe) for the nine months ended September 30, 2023, an increase of 34% from $84.1 million ($16.21 per Boe) during the same period in 2022. The increase in depletion and accretion expense was primarily due to the increase in depletion expense resulting from the increase in production and depletion rate.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Abandonments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we recognized abandonments expense of $1.6 million related to certain mechanical issues encountered on two wells that made them unable to produce hydrocarbons.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components of our general and administrative expenses for the three and nine months ended September 30, 2023 and 2022:</w:t>
      </w:r>
    </w:p>
    <w:tbl>
      <w:tblPr>
        <w:tblW w:w="9572" w:type="dxa"/>
        <w:jc w:val="left"/>
        <w:tblInd w:w="0" w:type="dxa"/>
        <w:tblLayout w:type="fixed"/>
        <w:tblCellMar>
          <w:top w:w="28" w:type="dxa"/>
          <w:left w:w="28" w:type="dxa"/>
          <w:bottom w:w="28" w:type="dxa"/>
          <w:right w:w="28" w:type="dxa"/>
        </w:tblCellMar>
      </w:tblPr>
      <w:tblGrid>
        <w:gridCol w:w="1281"/>
        <w:gridCol w:w="1127"/>
        <w:gridCol w:w="1132"/>
        <w:gridCol w:w="253"/>
        <w:gridCol w:w="739"/>
        <w:gridCol w:w="130"/>
        <w:gridCol w:w="130"/>
        <w:gridCol w:w="130"/>
        <w:gridCol w:w="130"/>
        <w:gridCol w:w="253"/>
        <w:gridCol w:w="739"/>
        <w:gridCol w:w="130"/>
        <w:gridCol w:w="109"/>
        <w:gridCol w:w="109"/>
        <w:gridCol w:w="109"/>
        <w:gridCol w:w="237"/>
        <w:gridCol w:w="812"/>
        <w:gridCol w:w="122"/>
        <w:gridCol w:w="122"/>
        <w:gridCol w:w="122"/>
        <w:gridCol w:w="122"/>
        <w:gridCol w:w="237"/>
        <w:gridCol w:w="694"/>
        <w:gridCol w:w="122"/>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21,839 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 were $5.2 million ($2.16 per Boe) for the three months ended September 30, 2023, an increase of 94% from $2.7 million ($1.34 per Boe) during the same period in 2022. The increase was primarily due to stock-based compensation of $0.4 million, annual compensation accruals related to the Company’s officers, higher professional services and legal costs and $2.5 million for the three months ended September 30, 2023 that Granite Ridge paid for services under the Management Services Agreement. Prior to the closing of the Business Combination, for the three months ended September 30, 2022, the Funds paid $1.5 million in management fees to an investment advisor. See Note 10 in the Notes to the Condensed Consolidated Financial Statements for additional information on management fees. The increase in stock-based compensation was due to the issuance of restricted stock awards, stock awards, stock options and PSUs. See Note 6 in the Notes to the Condensed Consolidated Financial Statements for additional information on stock-based compensation.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 were $21.8 million ($3.37 per Boe) for the nine months ended September 30, 2023, an increase of 182% from $7.7 million ($1.49 per Boe) during the same period in 2022. The increase was primarily due to $2.5 million of costs directly related to the Warrant Exchange, stock-based compensation of $1.8 million, annual compensation accruals related to the Company’s officers, higher professional services and legal costs and $7.5 million for the nine months ended September 30, 2023 that Granite Ridge paid for services under the Management Services Agreement. Prior to the closing of the Business Combination, for the nine months ended September 30, 2022, the Funds paid $4.5 million in management fees to an investment advisor. See Note 10 in the Notes to the Condensed Consolidated Financial Statements for additional information on management fees. The increase in stock-based compensation was due to the issuance of restricted stock awards, stock awards, stock options and PSUs. See Note 6 in the Notes to the Condensed Consolidated Financial Statements for additional information on stock-based compensation.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Gain/(Loss) on Derivatives – Commodity Derivatives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gain (loss) on derivatives for the three and nine months ended September 30, 2023 and 2022:</w:t>
      </w:r>
    </w:p>
    <w:tbl>
      <w:tblPr>
        <w:tblW w:w="9033" w:type="dxa"/>
        <w:jc w:val="left"/>
        <w:tblInd w:w="0" w:type="dxa"/>
        <w:tblLayout w:type="fixed"/>
        <w:tblCellMar>
          <w:top w:w="28" w:type="dxa"/>
          <w:left w:w="28" w:type="dxa"/>
          <w:bottom w:w="28" w:type="dxa"/>
          <w:right w:w="28" w:type="dxa"/>
        </w:tblCellMar>
      </w:tblPr>
      <w:tblGrid>
        <w:gridCol w:w="1146"/>
        <w:gridCol w:w="1008"/>
        <w:gridCol w:w="1011"/>
        <w:gridCol w:w="238"/>
        <w:gridCol w:w="780"/>
        <w:gridCol w:w="123"/>
        <w:gridCol w:w="123"/>
        <w:gridCol w:w="123"/>
        <w:gridCol w:w="123"/>
        <w:gridCol w:w="238"/>
        <w:gridCol w:w="814"/>
        <w:gridCol w:w="123"/>
        <w:gridCol w:w="109"/>
        <w:gridCol w:w="109"/>
        <w:gridCol w:w="109"/>
        <w:gridCol w:w="223"/>
        <w:gridCol w:w="730"/>
        <w:gridCol w:w="115"/>
        <w:gridCol w:w="115"/>
        <w:gridCol w:w="115"/>
        <w:gridCol w:w="115"/>
        <w:gridCol w:w="223"/>
        <w:gridCol w:w="842"/>
        <w:gridCol w:w="115"/>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(30,787)</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net cash receipts from (payments on) derivatives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606"/>
        <w:gridCol w:w="1411"/>
        <w:gridCol w:w="1403"/>
        <w:gridCol w:w="233"/>
        <w:gridCol w:w="683"/>
        <w:gridCol w:w="120"/>
        <w:gridCol w:w="120"/>
        <w:gridCol w:w="120"/>
        <w:gridCol w:w="120"/>
        <w:gridCol w:w="233"/>
        <w:gridCol w:w="873"/>
        <w:gridCol w:w="120"/>
        <w:gridCol w:w="109"/>
        <w:gridCol w:w="109"/>
        <w:gridCol w:w="109"/>
        <w:gridCol w:w="218"/>
        <w:gridCol w:w="748"/>
        <w:gridCol w:w="112"/>
        <w:gridCol w:w="112"/>
        <w:gridCol w:w="112"/>
        <w:gridCol w:w="112"/>
        <w:gridCol w:w="218"/>
        <w:gridCol w:w="816"/>
        <w:gridCol w:w="112"/>
        <w:gridCol w:w="109"/>
        <w:gridCol w:w="167"/>
      </w:tblGrid>
      <w:tr>
        <w:trPr/>
        <w:tc>
          <w:tcPr>
            <w:tcW w:w="16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18,830 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(40,006)</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$1.4 million for the three months ended September 30, 2023 compared to $0.6 million for the three months ended September 30, 2022. The increase in interest expense during three months ended September 30, 2023 as compared to 2022 was primarily due to the increase in interest rates and amortization of deferred financing costs, and higher average outstanding balance on the revolving credit facility.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$2.9 million for the nine months ended September 30, 2023 compared to $1.7 million for the nine months ended September 30, 2022. The increase in interest expense during the nine months ended September 30, 2023 as compared to 2022 was primarily due to the increase in interest rates and amortization of deferred financing costs, and higher average outstanding balance on the revolving credit facility.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on Derivatives – Common Stock Warrants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loss of $8 thousand and $5.7 million during the three and nine months ended September 30, 2023, respectively, from the change in fair value of the warrant liability. See Note 3 and Note 9 in the Notes to the Condensed Consolidated Financial Statements for additional information on the common stock warrants and the Warrant Exchange.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 xml:space="preserve">We recorded an income tax expense of $5.2 million and $20.1 million for the three and nine months ended September 30, 2023, respectively. There was no income tax expense (benefit) for the three and nine months ended September 30, 2022. The change in income tax expense during the three and nine months ended September 30, 2023, compared with the same periods in 2022, was due to the fact that the Funds were treated as partnerships for U.S. federal income tax purposes during the three and nine months ended </w:t>
      </w:r>
      <w:r>
        <w:rPr>
          <w:rFonts w:ascii="Times New Roman;sans-serif" w:hAnsi="Times New Roman;sans-serif"/>
          <w:b w:val="false"/>
          <w:color w:val="000000"/>
          <w:sz w:val="20"/>
        </w:rPr>
        <w:t>September 30, 2022</w:t>
      </w:r>
      <w:r>
        <w:rPr>
          <w:color w:val="000000"/>
          <w:shd w:fill="FFFFFF" w:val="clear"/>
        </w:rPr>
        <w:t xml:space="preserve"> </w:t>
      </w:r>
      <w:r>
        <w:rPr>
          <w:rFonts w:ascii="Times New Roman;sans-serif" w:hAnsi="Times New Roman;sans-serif"/>
          <w:b w:val="false"/>
          <w:color w:val="000000"/>
          <w:sz w:val="20"/>
          <w:shd w:fill="FFFFFF" w:val="clear"/>
        </w:rPr>
        <w:t>and, as such, the partners of the Funds reported their share of the Fund’s income or loss on their respective income tax returns. In contrast, Granite Ridge is a corporation for U.S. federal income tax purposes and is subject to U.S. federal income taxes on any income or loss from the operation of the Company’s assets following the Business Combination on Octobe</w:t>
      </w:r>
      <w:r>
        <w:rPr>
          <w:rFonts w:ascii="Times New Roman;sans-serif" w:hAnsi="Times New Roman;sans-serif"/>
          <w:b w:val="false"/>
          <w:color w:val="000000"/>
          <w:sz w:val="20"/>
        </w:rPr>
        <w:t>r 24, 2022. The effective income tax rate differs from the statutory rate primarily due to the impact of certain discrete items and state income taxes. See Note 7 to the Notes to the Condensed Consolidated Financial Statements for additional discussion of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main sources of liquidity and capital resources as of the periods covered by this report have been internally generated cash flow from operations and credit facility borrowings. Our primary use of capital has been for the development and acquisition of oil and natural gas properties. We continually monitor potential capital sources for opportunities to enhance liquidity or otherwise improve our financial position.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had $85.0 million of debt outstanding under our senior secured revolving credit agreement (“Credit Agreement”). We had $70.8 million of liquidity as of September 30, 2023, consisting of $64.7 million of committed borrowing availability under the Credit Agreement and $6.1 million of cash on hand. On November 7,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amended the Credit Agreement which, among other things, decreased the borrowing base from $325.0 million to $275.0 million and provided for aggregate elected commitments of $240.0 million, and amended the applicable margin charged on the loans and other obligations under the Credit Agreement. See Note 8 to the Notes to the Condensed Consolidated Financial Statements for additional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cash on hand, cash flow from operations,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Dividends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paid dividends of $14.8 million, or $0.11 per share, and $44.1 million, or $0.33 per share during the three and nine months ended September 30, 2023, respectively.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announced that our Board of Directors approved a stock repurchase program for up to $50 million of our common stock through December 31, 2023. Under the stock repurchase program, we will repurchase shares of our common stock from time to time in open market transactions or in privately negotiated transactions as permitted under applicable rules and regulations. The Board of Directors of the Company may limit or terminate the stock repurchase program at any time without prior notice, but, with no further action of the Board of Directors of the Company, the stock repurchase program will terminate on December 31,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we repurchased 868,726 and 1,802,311 shares under the program at an aggregate cost of $6.3 million and $12.1 million, respectively. As of September 30, 2023, we had repurchased a total of 1,828,231 shares since the inception of the program at an aggregate cost of $12.3 million. The extent to which we repurchase our shares of common stock, and the timing of such repurchases, will depend upon market conditions and other considerations as may be considered in our sole discretion.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changes in cash and cash equivalents for the nine months ended September 30, 2023 and 2022:</w:t>
      </w:r>
    </w:p>
    <w:tbl>
      <w:tblPr>
        <w:tblW w:w="6879" w:type="dxa"/>
        <w:jc w:val="left"/>
        <w:tblInd w:w="0" w:type="dxa"/>
        <w:tblLayout w:type="fixed"/>
        <w:tblCellMar>
          <w:top w:w="28" w:type="dxa"/>
          <w:left w:w="28" w:type="dxa"/>
          <w:bottom w:w="28" w:type="dxa"/>
          <w:right w:w="28" w:type="dxa"/>
        </w:tblCellMar>
      </w:tblPr>
      <w:tblGrid>
        <w:gridCol w:w="1527"/>
        <w:gridCol w:w="1342"/>
        <w:gridCol w:w="1346"/>
        <w:gridCol w:w="211"/>
        <w:gridCol w:w="826"/>
        <w:gridCol w:w="109"/>
        <w:gridCol w:w="109"/>
        <w:gridCol w:w="109"/>
        <w:gridCol w:w="109"/>
        <w:gridCol w:w="211"/>
        <w:gridCol w:w="82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$38.7 million decrease in operating cash flows during the nine months ended September 30, 2023 as compared to the same period in 2022 was primarily due to the decrease in oil and natural gas sales and higher operating costs, partially offset by $18.8 million of settlements received from commodity derivatives during the nine months ended September 30, 2023, as compared to $40.0 million of settlements paid on commodity derivatives during the same period in 2022.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provided by operating activities included a reduction of $2.9 million and a reduction of $29.3 million for the nine months ended September 30, 2023 and 2022, respectively, associated with changes in working capital items. Changes in working capital items adjust for the timing of receipts and payments of actual cash.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our net cash used in investing activities was $286.5 million, which consisted primarily of $237.1 million of capital expenditures for oil and natural gas properties and $49.4 million of acquisitions of oil and natural gas properties.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2022, our net cash used in investing activities was $175.1 million, which consisted primarily of $143.9 million of capital expenditures for oil and natural gas properties and $32.9 million of acquisitions of oil and natural gas properties.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our net cash provided by financing activities was $29.1 million, primarily due to $85.0 million of net borrowings under our Credit Agreement, partially offset by $44.1 million of dividends paid on our common stock and $11.8 million of common stock repurchases.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our net cash used in financing activities was $51.0 million, primarily due to net repayments under the credit facilities.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Granite Ridge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the Funds terminated their revolving credit facilities, and we entered into the Credit Agreement among us, as borrower, Texas Capital Bank, as administrative agent, and the lenders from time to time party thereto. The Credit Agreement has a maturity of five years from the effective date thereof.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provided for aggregate elected commitments of $150.0 million, an initial borrowing base of $325.0 million and an aggregate maximum revolving credit amount of $1.0 billion. The borrowing base is scheduled to be redetermined semiannually on or about April 1 and October 1 of each calendar year, and is subject to additional adjustments from time to time, including for asset sales, elimination or reduction of hedge positions and incurrence of other debt. On November 7, 2023, we amended the Credit Agreement which, among other things, decreased the borrowing base from $325.0 million to $275.0 million and provided for aggregate elected commitments of $240.0 million.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the Required Lenders (as defined in the Credit Agreement) may each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we are able to borrow under the Credit Agreement is subject to compliance with the financial covenants, satisfaction of various conditions precedent to borrowing and other provisions of the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we had $85.0 million of outstanding debt and $0.3 million of letters of credit issued and outstanding under our Credit Agreement, resulting in committed borrowing availability of $64.7 million. The Credit Agreement is guaranteed by our restricted subsidiaries and is secured by a first priority mortgage and security interest in substantially all of our assets and of our restricted subsidiaries.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may be base rate loans or secured overnight financing rate (“SOFR”) loans. Interest for base rate loans and SOFR loans is payable at the end of the applicable interest period. Prior to the Credit Agreement amendment on November 7, 2023, SOFR loans accrued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at a rate per annum equal to the greatest of: (i) the U.S. prime rate as published by the Wall Street Journal; (ii) the federal funds effective rate plus 50 basis points; and (iii) the adjusted SOFR rate for a one-month interest period plus 100 basis points, plus an applicable margin ranging from 150 to 250 basis points, depending on the percentage of the borrowing base utilized.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Credit Agreement amendment on November 7, 2023, SOFR loans now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now bear interest at a rate per annum equal to the greatest of: (i) the U.S. prime rate as published by the Wall Street Journal; (ii) the federal funds effective rate plus 50 basis points; and (iii) the adjusted SOFR rate for a one-month interest period plus 100 basis points, plus an applicable margin ranging from 200 to 300 basis points, depending on the percentage of the borrowing base utilized.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pay a commitment fee on unused elected commitment amounts under our facility of 50 basis points. We may repay any amounts borrowed under the Credit Agreement prior to the maturity date without any premium or penalty.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also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Current Ratio, (as defined in the Credit Agreement) of not less than 1.00 to 1.00 as of the last day of each fiscal quarter;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(ii)a leverage ratio, which is the ratio of Consolidated Total Debt to EBITDAX (each as defined in the Credit Agreement), of not greater than 3.00 to 1.00 as of the last day of each fiscal quarter.</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were in compliance with all financial covenants required by the Credit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Known Contractual and Other Obligations; Planned Capital Expenditures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and Other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include long-term debt, cash interest expense on debt, derivative liabilities, asset retirement obligations and an annual service fee to the Manager. Since December 31, 2022, there have been the following material changes in our contractual obligations: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$85.0 million increase in long-term debt due to borrowings under the Credit Agreement;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 in our derivative liability, which was $4.9 million at September 30,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Planned Capital Expenditures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we increased our 2023 total planned capital expenditures to range between $345 million and $355 million, including $90 million of identified acquisitions of oil and natural gas properties. Our costs incurred on oil and natural gas properties, excluding acquisitions, during the three months ended September 30, 2023 and 2022 totaled $75.7 million and $59.9 million, respectively, and $233.1 million and $164.9 million during the nine months ended September 30, 2023 and 2022,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expenditures for the three and nine months ended September 30, 2023 were primarily funded with cash flows from operations and borrowings under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expenditures for acquisitions of proved and unproved properties for the three and nine months ended September 30, 2023 and 2022:</w:t>
      </w:r>
    </w:p>
    <w:tbl>
      <w:tblPr>
        <w:tblW w:w="9328" w:type="dxa"/>
        <w:jc w:val="left"/>
        <w:tblInd w:w="0" w:type="dxa"/>
        <w:tblLayout w:type="fixed"/>
        <w:tblCellMar>
          <w:top w:w="28" w:type="dxa"/>
          <w:left w:w="28" w:type="dxa"/>
          <w:bottom w:w="28" w:type="dxa"/>
          <w:right w:w="28" w:type="dxa"/>
        </w:tblCellMar>
      </w:tblPr>
      <w:tblGrid>
        <w:gridCol w:w="977"/>
        <w:gridCol w:w="860"/>
        <w:gridCol w:w="862"/>
        <w:gridCol w:w="478"/>
        <w:gridCol w:w="337"/>
        <w:gridCol w:w="339"/>
        <w:gridCol w:w="247"/>
        <w:gridCol w:w="247"/>
        <w:gridCol w:w="247"/>
        <w:gridCol w:w="478"/>
        <w:gridCol w:w="337"/>
        <w:gridCol w:w="339"/>
        <w:gridCol w:w="109"/>
        <w:gridCol w:w="109"/>
        <w:gridCol w:w="109"/>
        <w:gridCol w:w="462"/>
        <w:gridCol w:w="338"/>
        <w:gridCol w:w="338"/>
        <w:gridCol w:w="238"/>
        <w:gridCol w:w="238"/>
        <w:gridCol w:w="238"/>
        <w:gridCol w:w="462"/>
        <w:gridCol w:w="338"/>
        <w:gridCol w:w="338"/>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4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27,459</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24,053</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acquisition costs</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19,423</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51,512</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Satisfaction of Our Cash Obligations for the Next Twelve Months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Effects of Inflation and Pricing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typically very cyclical and the demand for goods and services of oil 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significant adverse impact to the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 more significant reporting areas impacted by management’s judgments and estimates are the choice of accounting method for oil and natural gas activities, oil and natural gas reserve estimation, asset retirement obligations, revenue recognition, impairment of long-lived assets and valuation of financial derivative.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procedures during the nine months ended September 30, 2023. See our disclosure of critical accounting policies in “Item 7. Management’s Discussion and Analysis of Financial Condition and Results of Operations” and “Item 8. Financial Statements and Supplementary Data” of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or Adopted Accounting Pronouncements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of recently issued or adopted accounting pronouncements, see Note 2 of the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 about Market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Commodity Price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A 10% increase in average commodity prices would have decreased the fair value of commodity derivatives by $13.4 million at September 30, 2023. We may incur significant unrealized losses in the future from our use of derivative financial instruments to the extent market prices increase and our derivatives contracts remain in place.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our exposure to interest rate changes related primarily to the borrowings under the Credit Agreement. The interest we pay on these borrowings is set periodically based upon market rates. We had total indebtedness of $85.0 million outstanding under our Credit Agreement at September 30, 2023. The impact of a one percent increase in interest rates on this amount of debt would result in increased annual interest expense of approximately $0.9 million.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filed or submitted under the Exchange Act is accumulated and communicated to management, including our Chief Executive Officer and Chief Financial Officer, to allow timely decisions regarding required disclosure.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preparation of our Annual Report on Form 10-K for the year ended December 31, 2022, we identified errors in the depletion calculation and that certain acquisitions, initially classified as acquisitions of proved oil and natural gas properties, should have been classified as unproved oil and natural gas properties. In addition, management identified additional material weaknesses in Information Technology General Controls (“ITGC”) related to access to perform key duties within the financial systems. As a result of these material weaknesses, our principal executive officer and principal financial officer concluded that our disclosure controls and procedures (as defined in Rules 13a-15(e) and 15d-15(e) under the Exchange Act) were not effective as of September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Material Weakness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identified a material weakness related to the lack of effectively designed controls over proper review of the depletion calculation and the accounting for acquisitions and the related allocation and classification of consideration paid for proved and unproved properties. The material weakness could result in a material misstatement of depletion expense and accumulated depletion that would result in a material misstatement to the annual or interim consolidated financial statements of Granite Ridge Resources, Inc. that would not be prevented or detected.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management has identified a material weakness related to the lack of effective controls over ITGC pertaining to user access management over systems that support the Company’s financial reporting process. Specifically, it was found that adequate restrictions were not in place to ensure appropriate segregation of duties among our personnel. If the user access material weakness is not remediated, it could result in a material misstatement to the annual or interim consolidated financial statements of Granite Ridge Resources, Inc. that would not be prevented or detected.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material weaknesses identified as described above, management restricted access to certain individuals over systems that support the financial reporting process. Management is in the process of implementing additional remediation steps to address the material weaknesses and to improve our internal control over financial reporting. Management is committed to the remediation of the material weaknesses described above, as well as the continued improvement of our internal controls over financial reporting.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above, there were no changes in our internal control over financial reporting (as such term is defined in Rules 13a-15(f) and 15d-15(f) of the Exchange Act) during the third quarter of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was not a party to any material legal proceedings during the nine months ended September 30, 2023. In the future, the Company may be subject from time to time to litigation claims and governmental and regulatory proceedings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from those described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announced that its Board of Directors approved a stock repurchase program for up to $50.0 million of the Company’s common stock through December 31, 2023. Under the stock repurchase program,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will repurchase shares of its common stock from time to time in open market transactions or in privately negotiated transactions as permitted under applicable rules and regulations. The Board of Directors of the Company may limit or terminate the stock repurchase program at any time without prior notice, but, with no further action of the Board of Directors of the Company, the stock repurchase program will terminate on December 31,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share repurchase activity for each period presented:</w:t>
      </w:r>
    </w:p>
    <w:tbl>
      <w:tblPr>
        <w:tblW w:w="10205" w:type="dxa"/>
        <w:jc w:val="left"/>
        <w:tblInd w:w="0" w:type="dxa"/>
        <w:tblLayout w:type="fixed"/>
        <w:tblCellMar>
          <w:top w:w="28" w:type="dxa"/>
          <w:left w:w="28" w:type="dxa"/>
          <w:bottom w:w="28" w:type="dxa"/>
          <w:right w:w="28" w:type="dxa"/>
        </w:tblCellMar>
      </w:tblPr>
      <w:tblGrid>
        <w:gridCol w:w="1131"/>
        <w:gridCol w:w="918"/>
        <w:gridCol w:w="928"/>
        <w:gridCol w:w="109"/>
        <w:gridCol w:w="109"/>
        <w:gridCol w:w="109"/>
        <w:gridCol w:w="413"/>
        <w:gridCol w:w="413"/>
        <w:gridCol w:w="415"/>
        <w:gridCol w:w="109"/>
        <w:gridCol w:w="109"/>
        <w:gridCol w:w="109"/>
        <w:gridCol w:w="378"/>
        <w:gridCol w:w="353"/>
        <w:gridCol w:w="355"/>
        <w:gridCol w:w="109"/>
        <w:gridCol w:w="109"/>
        <w:gridCol w:w="109"/>
        <w:gridCol w:w="575"/>
        <w:gridCol w:w="575"/>
        <w:gridCol w:w="577"/>
        <w:gridCol w:w="109"/>
        <w:gridCol w:w="109"/>
        <w:gridCol w:w="109"/>
        <w:gridCol w:w="543"/>
        <w:gridCol w:w="543"/>
        <w:gridCol w:w="780"/>
      </w:tblGrid>
      <w:tr>
        <w:trPr/>
        <w:tc>
          <w:tcPr>
            <w:tcW w:w="113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29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 xml:space="preserve">purchased as part of </w:t>
              <w:br/>
              <w:t>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w:t>
              <w:br/>
              <w:t xml:space="preserve">of shares that may yet </w:t>
              <w:br/>
              <w:t xml:space="preserve">be purchased under </w:t>
              <w:br/>
              <w:t>the plans or programs</w:t>
              <w:br/>
              <w:t>(in millions)</w:t>
            </w:r>
          </w:p>
        </w:tc>
      </w:tr>
      <w:tr>
        <w:trPr/>
        <w:tc>
          <w:tcPr>
            <w:tcW w:w="2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 August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vAlign w:val="center"/>
          </w:tcPr>
          <w:p>
            <w:pPr>
              <w:pStyle w:val="TableContents"/>
              <w:bidi w:val="0"/>
              <w:spacing w:before="0" w:after="283"/>
              <w:jc w:val="left"/>
              <w:rPr>
                <w:sz w:val="4"/>
                <w:szCs w:val="4"/>
              </w:rPr>
            </w:pPr>
            <w:r>
              <w:rPr>
                <w:sz w:val="4"/>
                <w:szCs w:val="4"/>
              </w:rPr>
            </w:r>
          </w:p>
        </w:tc>
        <w:tc>
          <w:tcPr>
            <w:tcW w:w="7228"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Defaults Upon Senior Securities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05"/>
        <w:gridCol w:w="268"/>
        <w:gridCol w:w="269"/>
        <w:gridCol w:w="109"/>
        <w:gridCol w:w="109"/>
        <w:gridCol w:w="109"/>
        <w:gridCol w:w="2646"/>
        <w:gridCol w:w="2635"/>
        <w:gridCol w:w="3755"/>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20"/>
              <w:jc w:val="left"/>
              <w:rPr/>
            </w:pPr>
            <w:hyperlink r:id="rId2">
              <w:r>
                <w:rPr>
                  <w:rStyle w:val="InternetLink"/>
                  <w:rFonts w:ascii="Times New Roman;sans-serif" w:hAnsi="Times New Roman;sans-serif"/>
                  <w:b w:val="false"/>
                  <w:color w:val="0000FF"/>
                  <w:sz w:val="20"/>
                  <w:u w:val="single"/>
                </w:rPr>
                <w:t>Business Combination Agreement, dated May 16, 2022, by and among Executive Network Partnering Corporation, Granite Ridge Resources, Inc., ENPC Merger Sub, Inc., GREP Merger Sub, LLC, and GREP (incorporated by reference to Annex A of Granite Ridge Resources, Inc.’s Registration Statement on Form S-4, filed with the SEC on May 16, 2022).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
              <w:r>
                <w:rPr>
                  <w:rStyle w:val="InternetLink"/>
                  <w:rFonts w:ascii="Times New Roman;sans-serif" w:hAnsi="Times New Roman;sans-serif"/>
                  <w:b w:val="false"/>
                  <w:color w:val="0000EE"/>
                  <w:sz w:val="20"/>
                  <w:u w:val="single"/>
                </w:rPr>
                <w:t>Amended and Restated Certificate of Incorporation of Granite Ridge Resources, Inc. (incorporated by reference to Exhibit 3.1 to the Company’s Current Report on Form 8-K filed with the SEC on October 28, 2022).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4">
              <w:r>
                <w:rPr>
                  <w:rStyle w:val="InternetLink"/>
                  <w:rFonts w:ascii="Times New Roman;sans-serif" w:hAnsi="Times New Roman;sans-serif"/>
                  <w:b w:val="false"/>
                  <w:color w:val="0000EE"/>
                  <w:sz w:val="20"/>
                  <w:u w:val="single"/>
                </w:rPr>
                <w:t>Amended and Restated Bylaws of Granite Ridge Resources, Inc. (incorporated by reference to Exhibit 3.2 to the Company’s Current Report on Form 8-K filed with the SEC on October 28, 2022).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5">
              <w:r>
                <w:rPr>
                  <w:rStyle w:val="InternetLink"/>
                  <w:rFonts w:ascii="Times New Roman;sans-serif" w:hAnsi="Times New Roman;sans-serif"/>
                  <w:b w:val="false"/>
                  <w:color w:val="0000EE"/>
                  <w:sz w:val="20"/>
                  <w:u w:val="single"/>
                </w:rPr>
                <w:t>Description of Securities (incorporated by reference to Exhibit 4.1 to the Company’s Annual Report on Form 10-K filed with the SEC on March 27,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6">
              <w:r>
                <w:rPr>
                  <w:rStyle w:val="InternetLink"/>
                  <w:rFonts w:ascii="Times New Roman;sans-serif" w:hAnsi="Times New Roman;sans-serif"/>
                  <w:b w:val="false"/>
                  <w:color w:val="0000EE"/>
                  <w:sz w:val="20"/>
                  <w:u w:val="single"/>
                </w:rPr>
                <w:t>Specimen Common Stock Certificate (incorporated by reference to Exhibit 4.1 to Granite Ridge Resources, Inc.’s Registration Statement on Form S-4/A, filed with the SEC on September 12, 2022).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Restricted Stock Award Agreement under the Granite Ridge Resources, Inc. 2022 Omnibus Incentive Plan.</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Performance Stock Unit Award Agreement under the Granite Ridge Resources, Inc. 2022 Omnibus Incentive Plan.</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Form of Nonqualified Stock Option Award Agreement under the Granite Ridge Resources, Inc. 2022 Omnibus Incentive Plan.</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30930x10qxexx311.htm">
              <w:r>
                <w:rPr>
                  <w:rStyle w:val="InternetLink"/>
                  <w:rFonts w:ascii="Times New Roman;sans-serif" w:hAnsi="Times New Roman;sans-serif"/>
                  <w:b w:val="false"/>
                  <w:color w:val="0000FF"/>
                  <w:sz w:val="20"/>
                  <w:u w:val="single"/>
                </w:rPr>
                <w:t>Certification of the Company’s Chief Executive Officer Pursuant to Section 302 of the Sarbanes Oxley Act of 2002 (18 U.S.C. Section 7241).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30930x10qxexx312.htm">
              <w:r>
                <w:rPr>
                  <w:rStyle w:val="InternetLink"/>
                  <w:rFonts w:ascii="Times New Roman;sans-serif" w:hAnsi="Times New Roman;sans-serif"/>
                  <w:b w:val="false"/>
                  <w:color w:val="0000FF"/>
                  <w:sz w:val="20"/>
                  <w:u w:val="single"/>
                </w:rPr>
                <w:t>Certification of the Company’s Chief Financial Officer Pursuant to Section 302 of the Sarbanes Oxley Act of 2002 (18 U.S.C. Section 7241).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30930x10qxexx321.htm">
              <w:r>
                <w:rPr>
                  <w:rStyle w:val="InternetLink"/>
                  <w:rFonts w:ascii="Times New Roman;sans-serif" w:hAnsi="Times New Roman;sans-serif"/>
                  <w:b w:val="false"/>
                  <w:color w:val="0000EE"/>
                  <w:sz w:val="20"/>
                  <w:u w:val="single"/>
                </w:rPr>
                <w:t>Certification of the Company’s Chief Executive Officer and Chief Financial Officer Pursuant to Section 906 of the Sarbanes Oxley Act of 2002 (18 U.S.C. Section 1350).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plan or compensatory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175" w:type="dxa"/>
        <w:jc w:val="left"/>
        <w:tblInd w:w="0" w:type="dxa"/>
        <w:tblLayout w:type="fixed"/>
        <w:tblCellMar>
          <w:top w:w="28" w:type="dxa"/>
          <w:left w:w="28" w:type="dxa"/>
          <w:bottom w:w="28" w:type="dxa"/>
          <w:right w:w="28" w:type="dxa"/>
        </w:tblCellMar>
      </w:tblPr>
      <w:tblGrid>
        <w:gridCol w:w="586"/>
        <w:gridCol w:w="515"/>
        <w:gridCol w:w="518"/>
        <w:gridCol w:w="363"/>
        <w:gridCol w:w="363"/>
        <w:gridCol w:w="363"/>
        <w:gridCol w:w="409"/>
        <w:gridCol w:w="409"/>
        <w:gridCol w:w="409"/>
        <w:gridCol w:w="948"/>
        <w:gridCol w:w="948"/>
        <w:gridCol w:w="134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GRANITE RIDGE RESOURCES, INC.</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ZORAN DURKOVIC</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Zoran Durkovic</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Luke C. Brandenberg,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b)(Paragraph omitted pursuant to SEC Release Nos. 33-8238/34-47986 and 33-8392/34-49313);</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148" w:type="dxa"/>
        <w:jc w:val="left"/>
        <w:tblInd w:w="0" w:type="dxa"/>
        <w:tblLayout w:type="fixed"/>
        <w:tblCellMar>
          <w:top w:w="28" w:type="dxa"/>
          <w:left w:w="28" w:type="dxa"/>
          <w:bottom w:w="28" w:type="dxa"/>
          <w:right w:w="28" w:type="dxa"/>
        </w:tblCellMar>
      </w:tblPr>
      <w:tblGrid>
        <w:gridCol w:w="797"/>
        <w:gridCol w:w="700"/>
        <w:gridCol w:w="707"/>
        <w:gridCol w:w="234"/>
        <w:gridCol w:w="234"/>
        <w:gridCol w:w="236"/>
        <w:gridCol w:w="948"/>
        <w:gridCol w:w="948"/>
        <w:gridCol w:w="1344"/>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9, 2023</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LUKE C. BRANDENBERG</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Tyler S. Farquharson,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b)(Paragraph omitted pursuant to SEC Release Nos. 33-8238/34-47986 and 33-8392/34-49313);</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773" w:type="dxa"/>
        <w:jc w:val="left"/>
        <w:tblInd w:w="0" w:type="dxa"/>
        <w:tblLayout w:type="fixed"/>
        <w:tblCellMar>
          <w:top w:w="28" w:type="dxa"/>
          <w:left w:w="28" w:type="dxa"/>
          <w:bottom w:w="28" w:type="dxa"/>
          <w:right w:w="28" w:type="dxa"/>
        </w:tblCellMar>
      </w:tblPr>
      <w:tblGrid>
        <w:gridCol w:w="797"/>
        <w:gridCol w:w="700"/>
        <w:gridCol w:w="707"/>
        <w:gridCol w:w="234"/>
        <w:gridCol w:w="234"/>
        <w:gridCol w:w="236"/>
        <w:gridCol w:w="838"/>
        <w:gridCol w:w="838"/>
        <w:gridCol w:w="1189"/>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9, 2023</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TYLER S. FARQUHARSON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Granite Ridge Resources, Inc., (the “Company”) on Form 10-Q for the period ended September 30, 2023, as filed with the United States Securities and Exchange Commission on the date hereof, (the “Report”), the undersigned officers of the Company hereby certify, pursuant to 18 U.S.C. Section 1350, as adopted pursuant to Section 906 of the Sarbanes-Oxley Act of 2002, that to the best of their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7072" w:type="dxa"/>
        <w:jc w:val="left"/>
        <w:tblInd w:w="0" w:type="dxa"/>
        <w:tblLayout w:type="fixed"/>
        <w:tblCellMar>
          <w:top w:w="28" w:type="dxa"/>
          <w:left w:w="28" w:type="dxa"/>
          <w:bottom w:w="28" w:type="dxa"/>
          <w:right w:w="28" w:type="dxa"/>
        </w:tblCellMar>
      </w:tblPr>
      <w:tblGrid>
        <w:gridCol w:w="797"/>
        <w:gridCol w:w="700"/>
        <w:gridCol w:w="707"/>
        <w:gridCol w:w="134"/>
        <w:gridCol w:w="134"/>
        <w:gridCol w:w="136"/>
        <w:gridCol w:w="408"/>
        <w:gridCol w:w="408"/>
        <w:gridCol w:w="408"/>
        <w:gridCol w:w="945"/>
        <w:gridCol w:w="945"/>
        <w:gridCol w:w="1350"/>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9,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9,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446/000119312522151859/d336730ds4.htm" TargetMode="External"/><Relationship Id="rId3" Type="http://schemas.openxmlformats.org/officeDocument/2006/relationships/hyperlink" Target="https://www.sec.gov/Archives/edgar/data/1928446/000110465922112452/tm2228430d2_ex3-1.htm" TargetMode="External"/><Relationship Id="rId4" Type="http://schemas.openxmlformats.org/officeDocument/2006/relationships/hyperlink" Target="https://www.sec.gov/Archives/edgar/data/1928446/000110465922112452/tm2228430d2_ex3-2.htm" TargetMode="External"/><Relationship Id="rId5" Type="http://schemas.openxmlformats.org/officeDocument/2006/relationships/hyperlink" Target="https://www.sec.gov/Archives/edgar/data/1928446/000155837023004735/grnt-20221231xex4d1.htm" TargetMode="External"/><Relationship Id="rId6" Type="http://schemas.openxmlformats.org/officeDocument/2006/relationships/hyperlink" Target="https://www.sec.gov/Archives/edgar/data/1928446/000119312522242166/d336730dex41.htm" TargetMode="External"/><Relationship Id="rId7" Type="http://schemas.openxmlformats.org/officeDocument/2006/relationships/hyperlink" Target="https://www.sec.gov/Archives/edgar/data/1928446/000192844623000014/graniteridge-2023restricte.htm" TargetMode="External"/><Relationship Id="rId8" Type="http://schemas.openxmlformats.org/officeDocument/2006/relationships/hyperlink" Target="https://www.sec.gov/Archives/edgar/data/1928446/000192844623000014/graniteridge-2023psuawarda.htm" TargetMode="External"/><Relationship Id="rId9" Type="http://schemas.openxmlformats.org/officeDocument/2006/relationships/hyperlink" Target="https://www.sec.gov/Archives/edgar/data/1928446/000192844623000014/graniteridge-2023stockopti.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22809</Words>
  <Characters>126517</Characters>
  <CharactersWithSpaces>147917</CharactersWithSpaces>
  <Paragraphs>2314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