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5448.xml.htm"/>
      <w:bookmarkStart w:id="1" w:name="kswkform4_17908854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Cocke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5217 MCKINNEY AVENUE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Granite Ridge Resources, Inc.</w:t>
              </w:r>
            </w:hyperlink>
            <w:r>
              <w:rPr/>
              <w:t xml:space="preserve"> [ </w:t>
            </w:r>
            <w:r>
              <w:rPr>
                <w:rFonts w:ascii="Times;serif" w:hAnsi="Times;serif"/>
                <w:color w:val="0000FF"/>
                <w:sz w:val="24"/>
                <w:shd w:fill="FFFFFF" w:val="clear"/>
              </w:rPr>
              <w:t>GRNT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25,630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issuer's Board of Directors compensation plan, the reporting person elected to receive stock in lieu of one-half of the cash compensation retainer for Board service for the portion of the quarter ended September 30, 2026 that the reporting person served on the Board. The number of shares issued were calculated based on the closing price of the common stock on September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Fuquay, by power of attorney for John Cocke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47708" TargetMode="External"/><Relationship Id="rId5" Type="http://schemas.openxmlformats.org/officeDocument/2006/relationships/hyperlink" Target="http://www.sec.gov/cgi-bin/browse-edgar?action=getcompany&amp;CIK=00019284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640</Words>
  <Characters>3435</Characters>
  <CharactersWithSpaces>4008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