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erif" w:hAnsi="Times New Roman;serif"/>
          <w:b/>
          <w:color w:val="000000"/>
          <w:sz w:val="16"/>
        </w:rPr>
      </w:pPr>
      <w:r>
        <w:rPr>
          <w:rFonts w:ascii="Times New Roman;serif" w:hAnsi="Times New Roman;serif"/>
          <w:b/>
          <w:color w:val="000000"/>
          <w:sz w:val="16"/>
        </w:rPr>
        <w:t>For the transition period from ______ to _______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001-41537</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GRANITE RIDGE RESOURCES, INC.</w:t>
      </w:r>
    </w:p>
    <w:p>
      <w:pPr>
        <w:pStyle w:val="TextBody"/>
        <w:bidi w:val="0"/>
        <w:spacing w:lineRule="auto" w:line="288" w:before="0" w:after="0"/>
        <w:jc w:val="center"/>
        <w:rPr/>
      </w:pPr>
      <w:r>
        <w:rPr>
          <w:rFonts w:ascii="Times New Roman;serif" w:hAnsi="Times New Roman;serif"/>
          <w:b w:val="false"/>
          <w:color w:val="000000"/>
          <w:sz w:val="16"/>
        </w:rPr>
        <w:t xml:space="preserve">( </w:t>
      </w:r>
      <w:r>
        <w:rPr>
          <w:rFonts w:ascii="Times New Roman;serif" w:hAnsi="Times New Roman;serif"/>
          <w:b w:val="false"/>
          <w:i/>
          <w:color w:val="000000"/>
          <w:sz w:val="16"/>
        </w:rPr>
        <w:t xml:space="preserve">Exact Name of Registrant as Specified in Its Charter </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___________________________________</w:t>
      </w:r>
    </w:p>
    <w:tbl>
      <w:tblPr>
        <w:tblW w:w="4946" w:type="dxa"/>
        <w:jc w:val="center"/>
        <w:tblInd w:w="0" w:type="dxa"/>
        <w:tblLayout w:type="fixed"/>
        <w:tblCellMar>
          <w:top w:w="28" w:type="dxa"/>
          <w:left w:w="28" w:type="dxa"/>
          <w:bottom w:w="28" w:type="dxa"/>
          <w:right w:w="28" w:type="dxa"/>
        </w:tblCellMar>
      </w:tblPr>
      <w:tblGrid>
        <w:gridCol w:w="1038"/>
        <w:gridCol w:w="908"/>
        <w:gridCol w:w="919"/>
        <w:gridCol w:w="109"/>
        <w:gridCol w:w="109"/>
        <w:gridCol w:w="109"/>
        <w:gridCol w:w="511"/>
        <w:gridCol w:w="511"/>
        <w:gridCol w:w="732"/>
      </w:tblGrid>
      <w:tr>
        <w:trPr/>
        <w:tc>
          <w:tcPr>
            <w:tcW w:w="103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88-2227812</w:t>
            </w:r>
          </w:p>
        </w:tc>
      </w:tr>
      <w:tr>
        <w:trPr/>
        <w:tc>
          <w:tcPr>
            <w:tcW w:w="28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5217 McKinney Ave, Suite 400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Dallas,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75205</w:t>
            </w:r>
          </w:p>
        </w:tc>
      </w:tr>
      <w:tr>
        <w:trPr/>
        <w:tc>
          <w:tcPr>
            <w:tcW w:w="28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(214) 396-2850</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24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2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As of August 3, 2026, there were 131,900,242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inherent risks and uncertainties, and important factors (many of which are beyond our company’s control)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acts of war, terrorism or uncertainty regarding the effects and duration of global hostilities, including the Israel-Hamas conflict, the Russia-Ukraine war, the conflict in Iran, continued instability in the Middle East, and any associated armed conflicts or related sanctions which may disrupt commodity prices and create instability in the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market conditions and global, regulatory, technical, and economic factors beyond Granite Ridge’s control, including the potential adverse effects of world health events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factors discussed in our Annual Report on Form 10-K for the year ended December 31, 2025 (the "2025 Form 10-K") under “Risk Factors,” as updated by any subsequent Quarterly Reports on Form 10-Q, including this Report, which we file with the United States Securities and Exchange Commission (“SEC”).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operations and cash flows. If one or more of these risks or uncertainties materialize, or if the underlying assumptions prove incorrect, our actual results may vary materially from those expected or projected.</w:t>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6"/>
        <w:gridCol w:w="2175"/>
        <w:gridCol w:w="2188"/>
        <w:gridCol w:w="202"/>
        <w:gridCol w:w="202"/>
        <w:gridCol w:w="290"/>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5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7">
              <w:r>
                <w:rPr>
                  <w:rStyle w:val="InternetLink"/>
                  <w:rFonts w:ascii="Times New Roman;serif" w:hAnsi="Times New Roman;serif"/>
                  <w:b w:val="false"/>
                  <w:color w:val="0000FF"/>
                  <w:sz w:val="20"/>
                  <w:u w:val="single"/>
                </w:rPr>
                <w:t>CAUTIONARY NOTE REGARDING FORWARD-LOOKING STATEMENTS</w:t>
              </w:r>
            </w:hyperlink>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7aee7788c4cf455d949e081d5138eff8_7">
              <w:r>
                <w:rPr>
                  <w:rStyle w:val="InternetLink"/>
                  <w:rFonts w:ascii="Times New Roman;serif" w:hAnsi="Times New Roman;serif"/>
                  <w:b w:val="false"/>
                  <w:strike w:val="false"/>
                  <w:dstrike w:val="false"/>
                  <w:color w:val="000000"/>
                  <w:sz w:val="20"/>
                  <w:u w:val="none"/>
                  <w:effect w:val="none"/>
                </w:rPr>
                <w:t>2</w:t>
              </w:r>
            </w:hyperlink>
          </w:p>
        </w:tc>
      </w:tr>
      <w:tr>
        <w:trPr/>
        <w:tc>
          <w:tcPr>
            <w:tcW w:w="95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3">
              <w:r>
                <w:rPr>
                  <w:rStyle w:val="InternetLink"/>
                  <w:rFonts w:ascii="Times New Roman;serif" w:hAnsi="Times New Roman;serif"/>
                  <w:b w:val="false"/>
                  <w:color w:val="0000FF"/>
                  <w:sz w:val="20"/>
                  <w:u w:val="single"/>
                </w:rPr>
                <w:t>PART I – FINANCIAL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3">
              <w:r>
                <w:rPr>
                  <w:rStyle w:val="InternetLink"/>
                  <w:rFonts w:ascii="Times New Roman;serif" w:hAnsi="Times New Roman;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6">
              <w:r>
                <w:rPr>
                  <w:rStyle w:val="InternetLink"/>
                  <w:rFonts w:ascii="Times New Roman;serif" w:hAnsi="Times New Roman;serif"/>
                  <w:b w:val="false"/>
                  <w:color w:val="0000FF"/>
                  <w:sz w:val="20"/>
                  <w:u w:val="single"/>
                </w:rPr>
                <w:t>Item 1.</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6">
              <w:r>
                <w:rPr>
                  <w:rStyle w:val="InternetLink"/>
                  <w:rFonts w:ascii="Times New Roman;serif" w:hAnsi="Times New Roman;serif"/>
                  <w:b w:val="false"/>
                  <w:color w:val="0000FF"/>
                  <w:sz w:val="20"/>
                  <w:u w:val="single"/>
                </w:rPr>
                <w:t>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6">
              <w:r>
                <w:rPr>
                  <w:rStyle w:val="InternetLink"/>
                  <w:rFonts w:ascii="Times New Roman;serif" w:hAnsi="Times New Roman;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aee7788c4cf455d949e081d5138eff8_19">
              <w:r>
                <w:rPr>
                  <w:rStyle w:val="InternetLink"/>
                  <w:rFonts w:ascii="Times New Roman;serif" w:hAnsi="Times New Roman;serif"/>
                  <w:b w:val="false"/>
                  <w:color w:val="0000FF"/>
                  <w:sz w:val="20"/>
                  <w:u w:val="single"/>
                </w:rPr>
                <w:t>Condensed 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9">
              <w:r>
                <w:rPr>
                  <w:rStyle w:val="InternetLink"/>
                  <w:rFonts w:ascii="Times New Roman;serif" w:hAnsi="Times New Roman;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aee7788c4cf455d949e081d5138eff8_22">
              <w:r>
                <w:rPr>
                  <w:rStyle w:val="InternetLink"/>
                  <w:rFonts w:ascii="Times New Roman;serif" w:hAnsi="Times New Roman;serif"/>
                  <w:b w:val="false"/>
                  <w:color w:val="0000FF"/>
                  <w:sz w:val="20"/>
                  <w:u w:val="single"/>
                </w:rPr>
                <w:t>Condensed Consolidated Statements of Operations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22">
              <w:r>
                <w:rPr>
                  <w:rStyle w:val="InternetLink"/>
                  <w:rFonts w:ascii="Times New Roman;serif" w:hAnsi="Times New Roman;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aee7788c4cf455d949e081d5138eff8_25">
              <w:r>
                <w:rPr>
                  <w:rStyle w:val="InternetLink"/>
                  <w:rFonts w:ascii="Times New Roman;serif" w:hAnsi="Times New Roman;serif"/>
                  <w:b w:val="false"/>
                  <w:color w:val="000080"/>
                  <w:sz w:val="20"/>
                  <w:u w:val="single"/>
                </w:rPr>
                <w:t>Condensed Consolidated Statements of Changes in</w:t>
              </w:r>
            </w:hyperlink>
            <w:hyperlink w:anchor="i7aee7788c4cf455d949e081d5138eff8_25">
              <w:r>
                <w:rPr>
                  <w:rStyle w:val="InternetLink"/>
                  <w:rFonts w:ascii="Times New Roman;serif" w:hAnsi="Times New Roman;serif"/>
                  <w:b w:val="false"/>
                  <w:color w:val="000080"/>
                  <w:sz w:val="20"/>
                  <w:u w:val="single"/>
                </w:rPr>
                <w:t xml:space="preserve"> Stockholders</w:t>
              </w:r>
            </w:hyperlink>
            <w:hyperlink w:anchor="i7aee7788c4cf455d949e081d5138eff8_25">
              <w:r>
                <w:rPr>
                  <w:rStyle w:val="InternetLink"/>
                  <w:rFonts w:ascii="Times New Roman;serif" w:hAnsi="Times New Roman;serif"/>
                  <w:b w:val="false"/>
                  <w:color w:val="000080"/>
                  <w:sz w:val="20"/>
                  <w:u w:val="single"/>
                </w:rPr>
                <w:t>’</w:t>
              </w:r>
            </w:hyperlink>
            <w:hyperlink w:anchor="i7aee7788c4cf455d949e081d5138eff8_25">
              <w:r>
                <w:rPr>
                  <w:rStyle w:val="InternetLink"/>
                  <w:rFonts w:ascii="Times New Roman;serif" w:hAnsi="Times New Roman;serif"/>
                  <w:b w:val="false"/>
                  <w:color w:val="000080"/>
                  <w:sz w:val="20"/>
                  <w:u w:val="single"/>
                </w:rPr>
                <w:t xml:space="preserve"> Equity</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25">
              <w:r>
                <w:rPr>
                  <w:rStyle w:val="InternetLink"/>
                  <w:rFonts w:ascii="Times New Roman;serif" w:hAnsi="Times New Roman;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aee7788c4cf455d949e081d5138eff8_28">
              <w:r>
                <w:rPr>
                  <w:rStyle w:val="InternetLink"/>
                  <w:rFonts w:ascii="Times New Roman;serif" w:hAnsi="Times New Roman;serif"/>
                  <w:b w:val="false"/>
                  <w:color w:val="0000FF"/>
                  <w:sz w:val="20"/>
                  <w:u w:val="single"/>
                </w:rPr>
                <w:t>Condensed Consolidated Statements of Cash Flows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28">
              <w:r>
                <w:rPr>
                  <w:rStyle w:val="InternetLink"/>
                  <w:rFonts w:ascii="Times New Roman;serif" w:hAnsi="Times New Roman;serif"/>
                  <w:b w:val="false"/>
                  <w:strike w:val="false"/>
                  <w:dstrike w:val="false"/>
                  <w:color w:val="000000"/>
                  <w:sz w:val="20"/>
                  <w:u w:val="none"/>
                  <w:effect w:val="none"/>
                </w:rPr>
                <w:t>8</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aee7788c4cf455d949e081d5138eff8_31">
              <w:r>
                <w:rPr>
                  <w:rStyle w:val="InternetLink"/>
                  <w:rFonts w:ascii="Times New Roman;serif" w:hAnsi="Times New Roman;serif"/>
                  <w:b w:val="false"/>
                  <w:color w:val="0000FF"/>
                  <w:sz w:val="20"/>
                  <w:u w:val="single"/>
                </w:rPr>
                <w:t>Notes to Condensed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31">
              <w:r>
                <w:rPr>
                  <w:rStyle w:val="InternetLink"/>
                  <w:rFonts w:ascii="Times New Roman;serif" w:hAnsi="Times New Roman;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76">
              <w:r>
                <w:rPr>
                  <w:rStyle w:val="InternetLink"/>
                  <w:rFonts w:ascii="Times New Roman;serif" w:hAnsi="Times New Roman;serif"/>
                  <w:b w:val="false"/>
                  <w:color w:val="0000FF"/>
                  <w:sz w:val="20"/>
                  <w:u w:val="single"/>
                </w:rPr>
                <w:t>Item 2.</w:t>
              </w:r>
            </w:hyperlink>
          </w:p>
        </w:tc>
        <w:tc>
          <w:tcPr>
            <w:tcW w:w="6569"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aee7788c4cf455d949e081d5138eff8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76">
              <w:r>
                <w:rPr>
                  <w:rStyle w:val="InternetLink"/>
                  <w:rFonts w:ascii="Times New Roman;serif" w:hAnsi="Times New Roman;serif"/>
                  <w:b w:val="false"/>
                  <w:strike w:val="false"/>
                  <w:dstrike w:val="false"/>
                  <w:color w:val="000000"/>
                  <w:sz w:val="20"/>
                  <w:u w:val="none"/>
                  <w:effect w:val="none"/>
                </w:rPr>
                <w:t>27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03">
              <w:r>
                <w:rPr>
                  <w:rStyle w:val="InternetLink"/>
                  <w:rFonts w:ascii="Times New Roman;serif" w:hAnsi="Times New Roman;serif"/>
                  <w:b w:val="false"/>
                  <w:color w:val="0000FF"/>
                  <w:sz w:val="20"/>
                  <w:u w:val="single"/>
                </w:rPr>
                <w:t>Item 3.</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03">
              <w:r>
                <w:rPr>
                  <w:rStyle w:val="InternetLink"/>
                  <w:rFonts w:ascii="Times New Roman;serif" w:hAnsi="Times New Roman;serif"/>
                  <w:b w:val="false"/>
                  <w:color w:val="0000FF"/>
                  <w:sz w:val="20"/>
                  <w:u w:val="single"/>
                </w:rPr>
                <w:t>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03">
              <w:r>
                <w:rPr>
                  <w:rStyle w:val="InternetLink"/>
                  <w:rFonts w:ascii="Times New Roman;serif" w:hAnsi="Times New Roman;serif"/>
                  <w:b w:val="false"/>
                  <w:strike w:val="false"/>
                  <w:dstrike w:val="false"/>
                  <w:color w:val="000000"/>
                  <w:sz w:val="20"/>
                  <w:u w:val="none"/>
                  <w:effect w:val="none"/>
                </w:rPr>
                <w:t>38</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06">
              <w:r>
                <w:rPr>
                  <w:rStyle w:val="InternetLink"/>
                  <w:rFonts w:ascii="Times New Roman;serif" w:hAnsi="Times New Roman;serif"/>
                  <w:b w:val="false"/>
                  <w:color w:val="0000FF"/>
                  <w:sz w:val="20"/>
                  <w:u w:val="single"/>
                </w:rPr>
                <w:t>Item 4.</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06">
              <w:r>
                <w:rPr>
                  <w:rStyle w:val="InternetLink"/>
                  <w:rFonts w:ascii="Times New Roman;serif" w:hAnsi="Times New Roman;serif"/>
                  <w:b w:val="false"/>
                  <w:color w:val="0000FF"/>
                  <w:sz w:val="20"/>
                  <w:u w:val="single"/>
                </w:rPr>
                <w:t>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06">
              <w:r>
                <w:rPr>
                  <w:rStyle w:val="InternetLink"/>
                  <w:rFonts w:ascii="Times New Roman;serif" w:hAnsi="Times New Roman;serif"/>
                  <w:b w:val="false"/>
                  <w:strike w:val="false"/>
                  <w:dstrike w:val="false"/>
                  <w:color w:val="000000"/>
                  <w:sz w:val="20"/>
                  <w:u w:val="none"/>
                  <w:effect w:val="none"/>
                </w:rPr>
                <w:t>39</w:t>
              </w:r>
            </w:hyperlink>
          </w:p>
        </w:tc>
      </w:tr>
      <w:tr>
        <w:trPr/>
        <w:tc>
          <w:tcPr>
            <w:tcW w:w="95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09">
              <w:r>
                <w:rPr>
                  <w:rStyle w:val="InternetLink"/>
                  <w:rFonts w:ascii="Times New Roman;serif" w:hAnsi="Times New Roman;serif"/>
                  <w:b w:val="false"/>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09">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12">
              <w:r>
                <w:rPr>
                  <w:rStyle w:val="InternetLink"/>
                  <w:rFonts w:ascii="Times New Roman;serif" w:hAnsi="Times New Roman;serif"/>
                  <w:b w:val="false"/>
                  <w:color w:val="0000FF"/>
                  <w:sz w:val="20"/>
                  <w:u w:val="single"/>
                </w:rPr>
                <w:t>Item 1.</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12">
              <w:r>
                <w:rPr>
                  <w:rStyle w:val="InternetLink"/>
                  <w:rFonts w:ascii="Times New Roman;serif" w:hAnsi="Times New Roman;serif"/>
                  <w:b w:val="false"/>
                  <w:color w:val="0000FF"/>
                  <w:sz w:val="20"/>
                  <w:u w:val="single"/>
                </w:rPr>
                <w:t>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12">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15">
              <w:r>
                <w:rPr>
                  <w:rStyle w:val="InternetLink"/>
                  <w:rFonts w:ascii="Times New Roman;serif" w:hAnsi="Times New Roman;serif"/>
                  <w:b w:val="false"/>
                  <w:color w:val="0000FF"/>
                  <w:sz w:val="20"/>
                  <w:u w:val="single"/>
                </w:rPr>
                <w:t>Item 1A.</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15">
              <w:r>
                <w:rPr>
                  <w:rStyle w:val="InternetLink"/>
                  <w:rFonts w:ascii="Times New Roman;serif" w:hAnsi="Times New Roman;serif"/>
                  <w:b w:val="false"/>
                  <w:color w:val="0000FF"/>
                  <w:sz w:val="20"/>
                  <w:u w:val="single"/>
                </w:rPr>
                <w:t>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15">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18">
              <w:r>
                <w:rPr>
                  <w:rStyle w:val="InternetLink"/>
                  <w:rFonts w:ascii="Times New Roman;serif" w:hAnsi="Times New Roman;serif"/>
                  <w:b w:val="false"/>
                  <w:color w:val="0000FF"/>
                  <w:sz w:val="20"/>
                  <w:u w:val="single"/>
                </w:rPr>
                <w:t>Item 2.</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18">
              <w:r>
                <w:rPr>
                  <w:rStyle w:val="InternetLink"/>
                  <w:rFonts w:ascii="Times New Roman;serif" w:hAnsi="Times New Roman;serif"/>
                  <w:b w:val="false"/>
                  <w:color w:val="0000FF"/>
                  <w:sz w:val="20"/>
                  <w:u w:val="single"/>
                </w:rPr>
                <w:t>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18">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21">
              <w:r>
                <w:rPr>
                  <w:rStyle w:val="InternetLink"/>
                  <w:rFonts w:ascii="Times New Roman;serif" w:hAnsi="Times New Roman;serif"/>
                  <w:b w:val="false"/>
                  <w:color w:val="0000FF"/>
                  <w:sz w:val="20"/>
                  <w:u w:val="single"/>
                </w:rPr>
                <w:t>Item 3.</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21">
              <w:r>
                <w:rPr>
                  <w:rStyle w:val="InternetLink"/>
                  <w:rFonts w:ascii="Times New Roman;serif" w:hAnsi="Times New Roman;serif"/>
                  <w:b w:val="false"/>
                  <w:color w:val="0000FF"/>
                  <w:sz w:val="20"/>
                  <w:u w:val="single"/>
                </w:rPr>
                <w:t>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21">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24">
              <w:r>
                <w:rPr>
                  <w:rStyle w:val="InternetLink"/>
                  <w:rFonts w:ascii="Times New Roman;serif" w:hAnsi="Times New Roman;serif"/>
                  <w:b w:val="false"/>
                  <w:color w:val="0000FF"/>
                  <w:sz w:val="20"/>
                  <w:u w:val="single"/>
                </w:rPr>
                <w:t>Item 4.</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24">
              <w:r>
                <w:rPr>
                  <w:rStyle w:val="InternetLink"/>
                  <w:rFonts w:ascii="Times New Roman;serif" w:hAnsi="Times New Roman;serif"/>
                  <w:b w:val="false"/>
                  <w:color w:val="0000FF"/>
                  <w:sz w:val="20"/>
                  <w:u w:val="single"/>
                </w:rPr>
                <w:t>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24">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27">
              <w:r>
                <w:rPr>
                  <w:rStyle w:val="InternetLink"/>
                  <w:rFonts w:ascii="Times New Roman;serif" w:hAnsi="Times New Roman;serif"/>
                  <w:b w:val="false"/>
                  <w:color w:val="0000FF"/>
                  <w:sz w:val="20"/>
                  <w:u w:val="single"/>
                </w:rPr>
                <w:t>Item 5.</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27">
              <w:r>
                <w:rPr>
                  <w:rStyle w:val="InternetLink"/>
                  <w:rFonts w:ascii="Times New Roman;serif" w:hAnsi="Times New Roman;serif"/>
                  <w:b w:val="false"/>
                  <w:color w:val="0000FF"/>
                  <w:sz w:val="20"/>
                  <w:u w:val="single"/>
                </w:rPr>
                <w:t>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27">
              <w:r>
                <w:rPr>
                  <w:rStyle w:val="InternetLink"/>
                  <w:rFonts w:ascii="Times New Roman;serif" w:hAnsi="Times New Roman;serif"/>
                  <w:b w:val="false"/>
                  <w:strike w:val="false"/>
                  <w:dstrike w:val="false"/>
                  <w:color w:val="000000"/>
                  <w:sz w:val="20"/>
                  <w:u w:val="none"/>
                  <w:effect w:val="none"/>
                </w:rPr>
                <w:t>39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30">
              <w:r>
                <w:rPr>
                  <w:rStyle w:val="InternetLink"/>
                  <w:rFonts w:ascii="Times New Roman;serif" w:hAnsi="Times New Roman;serif"/>
                  <w:b w:val="false"/>
                  <w:color w:val="0000FF"/>
                  <w:sz w:val="20"/>
                  <w:u w:val="single"/>
                </w:rPr>
                <w:t>Item 6.</w:t>
              </w:r>
            </w:hyperlink>
          </w:p>
        </w:tc>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30">
              <w:r>
                <w:rPr>
                  <w:rStyle w:val="InternetLink"/>
                  <w:rFonts w:ascii="Times New Roman;serif" w:hAnsi="Times New Roman;serif"/>
                  <w:b w:val="false"/>
                  <w:color w:val="0000FF"/>
                  <w:sz w:val="20"/>
                  <w:u w:val="single"/>
                </w:rPr>
                <w:t>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30">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ee7788c4cf455d949e081d5138eff8_133">
              <w:r>
                <w:rPr>
                  <w:rStyle w:val="InternetLink"/>
                  <w:rFonts w:ascii="Times New Roman;serif" w:hAnsi="Times New Roman;serif"/>
                  <w:b w:val="false"/>
                  <w:color w:val="0000FF"/>
                  <w:sz w:val="20"/>
                  <w:u w:val="single"/>
                </w:rPr>
                <w:t>Signatures</w:t>
              </w:r>
            </w:hyperlink>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e7788c4cf455d949e081d5138eff8_133">
              <w:r>
                <w:rPr>
                  <w:rStyle w:val="InternetLink"/>
                  <w:rFonts w:ascii="Times New Roman;serif" w:hAnsi="Times New Roman;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17"/>
        <w:gridCol w:w="2229"/>
        <w:gridCol w:w="2244"/>
        <w:gridCol w:w="196"/>
        <w:gridCol w:w="871"/>
        <w:gridCol w:w="109"/>
        <w:gridCol w:w="109"/>
        <w:gridCol w:w="109"/>
        <w:gridCol w:w="109"/>
        <w:gridCol w:w="226"/>
        <w:gridCol w:w="1006"/>
        <w:gridCol w:w="180"/>
      </w:tblGrid>
      <w:tr>
        <w:trPr/>
        <w:tc>
          <w:tcPr>
            <w:tcW w:w="2817"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 except par value and share data)</w:t>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74,166 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operators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118,883 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and gas properties, successful efforts method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1,897,388 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depletion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(964,968)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(857,832)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and equipment, net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1,074,529 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1,039,556 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9,632 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1,168,071 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76,847 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 commodity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95,181 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367,832 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 commodity derivatives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Asset retirement obligations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87,330 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payables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467,130 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675,204 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562,311 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431,000,000 shares authorized, 137,592,654 and 136,941,978 issued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659,228 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(17,286)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5,692,412 and 5,686,711 shares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605,760 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1,237,577 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1,168,071 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85" w:type="dxa"/>
        <w:jc w:val="left"/>
        <w:tblInd w:w="0" w:type="dxa"/>
        <w:tblLayout w:type="fixed"/>
        <w:tblCellMar>
          <w:top w:w="28" w:type="dxa"/>
          <w:left w:w="28" w:type="dxa"/>
          <w:bottom w:w="28" w:type="dxa"/>
          <w:right w:w="28" w:type="dxa"/>
        </w:tblCellMar>
      </w:tblPr>
      <w:tblGrid>
        <w:gridCol w:w="1547"/>
        <w:gridCol w:w="1360"/>
        <w:gridCol w:w="136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(in thousands, except per share data)</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168,880 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derivatives - commodity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130,403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130,496</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4"/>
        <w:gridCol w:w="396"/>
        <w:gridCol w:w="397"/>
        <w:gridCol w:w="229"/>
        <w:gridCol w:w="229"/>
        <w:gridCol w:w="233"/>
        <w:gridCol w:w="116"/>
        <w:gridCol w:w="116"/>
        <w:gridCol w:w="116"/>
        <w:gridCol w:w="327"/>
        <w:gridCol w:w="181"/>
        <w:gridCol w:w="183"/>
        <w:gridCol w:w="109"/>
        <w:gridCol w:w="109"/>
        <w:gridCol w:w="109"/>
        <w:gridCol w:w="412"/>
        <w:gridCol w:w="344"/>
        <w:gridCol w:w="347"/>
        <w:gridCol w:w="109"/>
        <w:gridCol w:w="109"/>
        <w:gridCol w:w="109"/>
        <w:gridCol w:w="600"/>
        <w:gridCol w:w="399"/>
        <w:gridCol w:w="336"/>
        <w:gridCol w:w="109"/>
        <w:gridCol w:w="109"/>
        <w:gridCol w:w="109"/>
        <w:gridCol w:w="288"/>
        <w:gridCol w:w="289"/>
        <w:gridCol w:w="197"/>
        <w:gridCol w:w="109"/>
        <w:gridCol w:w="109"/>
        <w:gridCol w:w="109"/>
        <w:gridCol w:w="196"/>
        <w:gridCol w:w="668"/>
        <w:gridCol w:w="109"/>
        <w:gridCol w:w="109"/>
        <w:gridCol w:w="109"/>
        <w:gridCol w:w="109"/>
        <w:gridCol w:w="212"/>
        <w:gridCol w:w="799"/>
        <w:gridCol w:w="177"/>
      </w:tblGrid>
      <w:tr>
        <w:trPr/>
        <w:tc>
          <w:tcPr>
            <w:tcW w:w="67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 2026</w:t>
            </w:r>
          </w:p>
        </w:tc>
      </w:tr>
      <w:tr>
        <w:trPr/>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4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1, 2026</w:t>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136,942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659,228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605,760 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related to 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1,398</w:t>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(14,461)</w:t>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(47,031)</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137,602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(5,692)</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545,636</w:t>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related to 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(14,509)</w:t>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29,996</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69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137,593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661,876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562,373</w:t>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816"/>
        <w:gridCol w:w="555"/>
        <w:gridCol w:w="557"/>
        <w:gridCol w:w="229"/>
        <w:gridCol w:w="229"/>
        <w:gridCol w:w="233"/>
        <w:gridCol w:w="126"/>
        <w:gridCol w:w="126"/>
        <w:gridCol w:w="126"/>
        <w:gridCol w:w="327"/>
        <w:gridCol w:w="181"/>
        <w:gridCol w:w="183"/>
        <w:gridCol w:w="109"/>
        <w:gridCol w:w="109"/>
        <w:gridCol w:w="109"/>
        <w:gridCol w:w="196"/>
        <w:gridCol w:w="736"/>
        <w:gridCol w:w="109"/>
        <w:gridCol w:w="109"/>
        <w:gridCol w:w="109"/>
        <w:gridCol w:w="109"/>
        <w:gridCol w:w="367"/>
        <w:gridCol w:w="309"/>
        <w:gridCol w:w="303"/>
        <w:gridCol w:w="109"/>
        <w:gridCol w:w="109"/>
        <w:gridCol w:w="109"/>
        <w:gridCol w:w="198"/>
        <w:gridCol w:w="198"/>
        <w:gridCol w:w="200"/>
        <w:gridCol w:w="113"/>
        <w:gridCol w:w="113"/>
        <w:gridCol w:w="113"/>
        <w:gridCol w:w="327"/>
        <w:gridCol w:w="335"/>
        <w:gridCol w:w="341"/>
        <w:gridCol w:w="109"/>
        <w:gridCol w:w="109"/>
        <w:gridCol w:w="109"/>
        <w:gridCol w:w="224"/>
        <w:gridCol w:w="843"/>
        <w:gridCol w:w="184"/>
      </w:tblGrid>
      <w:tr>
        <w:trPr/>
        <w:tc>
          <w:tcPr>
            <w:tcW w:w="8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 2025</w:t>
            </w:r>
          </w:p>
        </w:tc>
      </w:tr>
      <w:tr>
        <w:trPr/>
        <w:tc>
          <w:tcPr>
            <w:tcW w:w="1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9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1, 2025</w:t>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136,418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635,353 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related to 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9,812</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March 31, 2025</w:t>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631,413</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related to 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(14,423)</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25,081</w:t>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69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136,952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656,520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642,466</w:t>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92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784" w:type="dxa"/>
        <w:jc w:val="left"/>
        <w:tblInd w:w="0" w:type="dxa"/>
        <w:tblLayout w:type="fixed"/>
        <w:tblCellMar>
          <w:top w:w="28" w:type="dxa"/>
          <w:left w:w="28" w:type="dxa"/>
          <w:bottom w:w="28" w:type="dxa"/>
          <w:right w:w="28" w:type="dxa"/>
        </w:tblCellMar>
      </w:tblPr>
      <w:tblGrid>
        <w:gridCol w:w="2329"/>
        <w:gridCol w:w="2051"/>
        <w:gridCol w:w="2055"/>
        <w:gridCol w:w="196"/>
        <w:gridCol w:w="721"/>
        <w:gridCol w:w="109"/>
        <w:gridCol w:w="109"/>
        <w:gridCol w:w="109"/>
        <w:gridCol w:w="109"/>
        <w:gridCol w:w="196"/>
        <w:gridCol w:w="646"/>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Impairments of long-lived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 - commodity derivatives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original issue discount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attributable to 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and long-term payables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for oil and natural gas properties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oil and natural gas properties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Refund of advances to operators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(200,533)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 on credit facilities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 on credit facilities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change in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activities: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accrued capital expenditures included in 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operators applied to development of oil and natural gas properties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Granite Ridge Resources, Inc. (together with its consolidated subsidiaries, “Granite Ridge” or the “Company”), a Texas corporation, is a scaled energy company which aims to provide shareholders with exposure similar to energy private equity through operated partnerships and traditional non-operated assets in multiple basins throughout North America.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13 - Subsequent Events, on August 5, 2026, the Company completed its reincorporation from the State of Delaware to the State of Texas by means of a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complete discussion of the Company’s significant accounting policies is included in the 2025 Form 10-K.</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Interim Financial Statements, Basis of Presentation, Consolidation, and Significant Estimates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conformity with accounting principles generally accepted in the United States of America (“U.S. GAAP”). The accompanying condensed consolidated financial statements include the accounts of the Company and all of its wholly owned subsidiaries. All intercompany balances and transactions have been eliminated in consolidation.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of the Company have not been audited by the Company’s independent registered public accounting firm, except that the condensed consolidated balance sheet at December 31, 2025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 The results for interim periods are not necessarily indicative of annual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2025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prior period amounts to conform to the current period presentation.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condensed consolidated statement of operations, is used by the CODM to assess performance for the oil and natural gas development, exploration and production segment. Significant segment expenses are the same as those reported in the condensed consolidated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operations. Total assets, as reported within the Company’s condensed consolidated balance sheets, is the measure of segment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Oil and Natural Gas Properties</w:t>
      </w:r>
    </w:p>
    <w:p>
      <w:pPr>
        <w:pStyle w:val="TextBody"/>
        <w:bidi w:val="0"/>
        <w:spacing w:lineRule="auto" w:line="288" w:before="240" w:after="283"/>
        <w:jc w:val="both"/>
        <w:rPr/>
      </w:pPr>
      <w:r>
        <w:rPr>
          <w:rFonts w:ascii="Times New Roman;serif" w:hAnsi="Times New Roman;serif"/>
          <w:b w:val="false"/>
          <w:color w:val="000000"/>
          <w:sz w:val="20"/>
        </w:rPr>
        <w:t xml:space="preserve">The Company uses the successful efforts method of accounting for oil and natural gas producing activities, as further defined under Accounting Standards Codification ("ASC") 932, </w:t>
      </w:r>
      <w:r>
        <w:rPr>
          <w:rFonts w:ascii="Times New Roman;serif" w:hAnsi="Times New Roman;serif"/>
          <w:b w:val="false"/>
          <w:i/>
          <w:color w:val="000000"/>
          <w:sz w:val="20"/>
        </w:rPr>
        <w:t>Extractive Activities - Oil and Gas</w:t>
      </w:r>
      <w:r>
        <w:rPr>
          <w:color w:val="000000"/>
        </w:rPr>
        <w:t xml:space="preserve"> </w:t>
      </w:r>
      <w:r>
        <w:rPr>
          <w:rFonts w:ascii="Times New Roman;serif" w:hAnsi="Times New Roman;serif"/>
          <w:b w:val="false"/>
          <w:color w:val="000000"/>
          <w:sz w:val="20"/>
        </w:rPr>
        <w:t>(“ASC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$52.4 million and $53.2 million for the three months ended June 30, 2026 and 2025, respectively, and $107.1 million and $101.4 million for the six months ended June 30, 2026 and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No proved property impairment was recorded for the three or six months ended June 30, 2026 or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unproved oil and gas properties impairment of $9.1 million for the three months ended June 30, 2026 and $20.3 million for the six months ended June 30, 2026 as a result of changes in operator development plans and reassessment of the economic viability of certain acreage in the Permian Basin resulting from unfavorable drilling results and further geologic and reservoir analysis of the acreage. No unproved property impairment was recorded for the three and six months ended June 30,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lineRule="auto" w:line="288" w:before="240" w:after="283"/>
        <w:jc w:val="both"/>
        <w:rPr/>
      </w:pPr>
      <w:r>
        <w:rPr>
          <w:rFonts w:ascii="Times New Roman;serif" w:hAnsi="Times New Roman;serif"/>
          <w:b w:val="false"/>
          <w:color w:val="000000"/>
          <w:sz w:val="20"/>
        </w:rPr>
        <w:t xml:space="preserve">The Company follows the guidance in ASC 321, </w:t>
      </w:r>
      <w:r>
        <w:rPr>
          <w:rFonts w:ascii="Times New Roman;serif" w:hAnsi="Times New Roman;serif"/>
          <w:b w:val="false"/>
          <w:i/>
          <w:color w:val="000000"/>
          <w:sz w:val="20"/>
        </w:rPr>
        <w:t>Investments - Equity Securities</w:t>
      </w:r>
      <w:r>
        <w:rPr>
          <w:color w:val="000000"/>
        </w:rPr>
        <w:t xml:space="preserve"> </w:t>
      </w:r>
      <w:r>
        <w:rPr>
          <w:rFonts w:ascii="Times New Roman;serif" w:hAnsi="Times New Roman;serif"/>
          <w:b w:val="false"/>
          <w:color w:val="000000"/>
          <w:sz w:val="20"/>
        </w:rPr>
        <w:t xml:space="preserve">("ASC 321") for its investment in common stock.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 until the preferred stock was converted into common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15, 2025, Crescent Energy completed its previously announced merger with Vital Energy. Under the merger agreement, each issued and outstanding share of Vital Energy common stock was converted into 1.9062 shares of Crescent Energy Class A common stock. As a result of the transaction, the Company’s 685,271 outstanding shares at the time of the merger closing in Vital Energy common stock were converted into 1,306,263 shares of Crescent Energy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disposed of its remaining 1,306,263 shares of Crescent Energy Company (“Crescent Energy”) common stock and realized a loss on sale of $2.2 million which is included in gain (loss) on equity investments within the Company’s condensed consolidated statements of operations for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June 30, 2026. During the second quarter of 2025, the Company divested 342,636 shares of Vital Energy, Inc. ("Vital Energy") common stock and realized a loss on sale of $10.5 million, for the three and six months ended June 30, 2025. As of June 30, 2026, the Company holds no shares of Crescent Energy’s or Vital Energy’s common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reported as gain (loss) on equity investments in the condensed consolidated statements of operations for the three and six months ended June 30, 2026, and 2025:</w:t>
      </w:r>
    </w:p>
    <w:tbl>
      <w:tblPr>
        <w:tblW w:w="8835" w:type="dxa"/>
        <w:jc w:val="left"/>
        <w:tblInd w:w="0" w:type="dxa"/>
        <w:tblLayout w:type="fixed"/>
        <w:tblCellMar>
          <w:top w:w="28" w:type="dxa"/>
          <w:left w:w="28" w:type="dxa"/>
          <w:bottom w:w="28" w:type="dxa"/>
          <w:right w:w="28" w:type="dxa"/>
        </w:tblCellMar>
      </w:tblPr>
      <w:tblGrid>
        <w:gridCol w:w="1352"/>
        <w:gridCol w:w="1190"/>
        <w:gridCol w:w="1193"/>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11"/>
        <w:gridCol w:w="79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equity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equity investment</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equity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obligations are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Take in Kind Oil and Natural Gas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transportation expenses the Company incurs to transport the volumes to downstream customers are recorded in lease operating expenses in the condensed consolidated statements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Oil and Natural Gas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the Appalachian Basin (Ohio). The following tables present the disaggregation of the Company’s oil and natural gas revenues by basin for the three and six months ended June 30, 2026 and 2025.</w:t>
      </w:r>
    </w:p>
    <w:tbl>
      <w:tblPr>
        <w:tblW w:w="6775" w:type="dxa"/>
        <w:jc w:val="left"/>
        <w:tblInd w:w="0" w:type="dxa"/>
        <w:tblLayout w:type="fixed"/>
        <w:tblCellMar>
          <w:top w:w="28" w:type="dxa"/>
          <w:left w:w="28" w:type="dxa"/>
          <w:bottom w:w="28" w:type="dxa"/>
          <w:right w:w="28" w:type="dxa"/>
        </w:tblCellMar>
      </w:tblPr>
      <w:tblGrid>
        <w:gridCol w:w="429"/>
        <w:gridCol w:w="377"/>
        <w:gridCol w:w="35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and Applicable Accounting Pronouncements (Issued and Not Yet Adopted)</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("ASU 2024-03"), which requires enhanced disclosure about specific types of expenses included in the expense captions presented on the face of the consolidated statement of operations as well as disclosures about selling expenses. ASU 2024-03 is effective for annual periods beginning after December 15, 2026 and interim periods beginning after December 15, 2027. Early adoption is permitted. The Company has not early adopted the standard and is currently assessing the effect that ASU 2024-03 will have on its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Commodity Derivatives Collar Option Contracts and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commodity derivative financial instruments consist of collar option contracts and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master netting agreements on individual derivative instruments with its counterparties and therefore certain amounts may be presented on a net basis in the condensed consolidated balance sheets.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Volume of Commodity Derivative Collar Option Contracts and Swap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outstanding commodity derivative contracts as of June 30, 2026. </w:t>
      </w:r>
    </w:p>
    <w:tbl>
      <w:tblPr>
        <w:tblW w:w="10015" w:type="dxa"/>
        <w:jc w:val="left"/>
        <w:tblInd w:w="0" w:type="dxa"/>
        <w:tblLayout w:type="fixed"/>
        <w:tblCellMar>
          <w:top w:w="28" w:type="dxa"/>
          <w:left w:w="28" w:type="dxa"/>
          <w:bottom w:w="28" w:type="dxa"/>
          <w:right w:w="28" w:type="dxa"/>
        </w:tblCellMar>
      </w:tblPr>
      <w:tblGrid>
        <w:gridCol w:w="1246"/>
        <w:gridCol w:w="1038"/>
        <w:gridCol w:w="1045"/>
        <w:gridCol w:w="260"/>
        <w:gridCol w:w="760"/>
        <w:gridCol w:w="134"/>
        <w:gridCol w:w="109"/>
        <w:gridCol w:w="109"/>
        <w:gridCol w:w="109"/>
        <w:gridCol w:w="284"/>
        <w:gridCol w:w="829"/>
        <w:gridCol w:w="146"/>
        <w:gridCol w:w="109"/>
        <w:gridCol w:w="109"/>
        <w:gridCol w:w="109"/>
        <w:gridCol w:w="211"/>
        <w:gridCol w:w="616"/>
        <w:gridCol w:w="109"/>
        <w:gridCol w:w="109"/>
        <w:gridCol w:w="109"/>
        <w:gridCol w:w="109"/>
        <w:gridCol w:w="211"/>
        <w:gridCol w:w="616"/>
        <w:gridCol w:w="109"/>
        <w:gridCol w:w="109"/>
        <w:gridCol w:w="109"/>
        <w:gridCol w:w="109"/>
        <w:gridCol w:w="232"/>
        <w:gridCol w:w="586"/>
        <w:gridCol w:w="1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Collars (oil)</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1,704,650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($/Bbl)</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($/Bbl)</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(oil)</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($/Bbl)</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(oil WTI / Brent CMA Diff)</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($/Bbl)</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Collars (natural gas)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3,868,320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5,596,076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6,427,940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2,211,640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($/Mcf)</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($/Mcf)</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(natural gas)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3,961,363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1,222,218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5,183,581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9,323,814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(natural gas Waha Basis)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5,012,763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Power Capacity Contract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12, 2025, the Company entered into a power capacity contract ("Power Capacity Contract") as part of its strategy to enhance the value of its natural gas production. The arrangement is intended to economically hedge exposure to weak regional gas pricing and negative basis differentials by providing participation in power market revenues derived from converting natural gas into electricity.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counterparty is constructing a fleet of distributed power generation facilities with an aggregate capacity of 200 megawatts, which are expected to begin commercial operations in 2027. The Company’s agreement covers a portion of the total expected capacity and has a seven-year settlement term commencing upon the first facility achieving commercial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arrangement, the Company is obligated to make fixed monthly payments based on operating generation capacity multiplied by its participation interest. In return, the Company receives variable payments representing its share of the facilities’ operating profit. Operating profit is generally defined as revenue from the sale of power, less gas feedstock costs and a fixed operating and maintenance charge.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structure allows the Company to benefit when power prices are favorable relative to gas prices, helping offset periods of depressed gas realizations. Conversely, when gas prices are strong and power generation is less economical, the Company may make net payments under the arrangement but benefits from improved cash flows on its physical gas sales. Overall, the arrangement is intended to stabilize and potentially enhance cash flows by diversifying the Company’s overall commodity price exposure.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reported in the condensed consolidated statements of operations related to the commodity derivative instruments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84"/>
        <w:gridCol w:w="1551"/>
        <w:gridCol w:w="1545"/>
        <w:gridCol w:w="211"/>
        <w:gridCol w:w="787"/>
        <w:gridCol w:w="109"/>
        <w:gridCol w:w="109"/>
        <w:gridCol w:w="109"/>
        <w:gridCol w:w="109"/>
        <w:gridCol w:w="211"/>
        <w:gridCol w:w="721"/>
        <w:gridCol w:w="109"/>
        <w:gridCol w:w="109"/>
        <w:gridCol w:w="109"/>
        <w:gridCol w:w="109"/>
        <w:gridCol w:w="211"/>
        <w:gridCol w:w="787"/>
        <w:gridCol w:w="109"/>
        <w:gridCol w:w="109"/>
        <w:gridCol w:w="109"/>
        <w:gridCol w:w="109"/>
        <w:gridCol w:w="211"/>
        <w:gridCol w:w="721"/>
        <w:gridCol w:w="157"/>
      </w:tblGrid>
      <w:tr>
        <w:trPr/>
        <w:tc>
          <w:tcPr>
            <w:tcW w:w="178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from (payments on) commodity derivatives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cash receipts from (payments on) commodity derivatives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Power capacity contract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unrealized gain (loss) on commodity derivatives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derivatives - commodity derivatives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jc w:val="both"/>
        <w:rPr/>
      </w:pPr>
      <w:r>
        <w:rPr>
          <w:rFonts w:ascii="Times New Roman;serif" w:hAnsi="Times New Roman;serif"/>
          <w:b w:val="false"/>
          <w:color w:val="000000"/>
          <w:sz w:val="20"/>
        </w:rPr>
        <w:t xml:space="preserve">The Company has adopted and follows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defined by ASC 820, the fair value of a financial instrument is the amount at which the instrument could be exchanged in a current transaction between willing parties, other than in a forced or liquidation sale, which was further clarified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amounts and fair values of the Company’s financial instruments as of June 30, 2026 and December 31, 2025:</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16"/>
              </w:rPr>
              <w:t>(</w:t>
            </w:r>
            <w:r>
              <w:rPr>
                <w:rFonts w:ascii="Times New Roman;serif" w:hAnsi="Times New Roman;serif"/>
                <w:b/>
                <w:i/>
                <w:color w:val="000000"/>
                <w:sz w:val="16"/>
              </w:rPr>
              <w:t>in thousands)</w:t>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 Senior Notes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335,332 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Revolving credit facilities</w:t>
      </w:r>
      <w:r>
        <w:rPr>
          <w:color w:val="000000"/>
        </w:rPr>
        <w:t xml:space="preserve"> — </w:t>
      </w:r>
      <w:r>
        <w:rPr>
          <w:rFonts w:ascii="Times New Roman;serif" w:hAnsi="Times New Roman;serif"/>
          <w:b w:val="false"/>
          <w:color w:val="000000"/>
          <w:sz w:val="20"/>
        </w:rPr>
        <w:t>The carrying amounts of the revolving credit facilities approximate their fair values, as the applicable interest rates are variable and reflective of market rates and are classified as Level 2 in the fair value hierarchy.</w:t>
      </w:r>
    </w:p>
    <w:p>
      <w:pPr>
        <w:pStyle w:val="TextBody"/>
        <w:bidi w:val="0"/>
        <w:spacing w:lineRule="auto" w:line="288" w:before="240" w:after="283"/>
        <w:jc w:val="both"/>
        <w:rPr/>
      </w:pPr>
      <w:r>
        <w:rPr>
          <w:rFonts w:ascii="Times New Roman;serif" w:hAnsi="Times New Roman;serif"/>
          <w:b w:val="false"/>
          <w:i/>
          <w:color w:val="000000"/>
          <w:sz w:val="20"/>
        </w:rPr>
        <w:t xml:space="preserve">2029 Senior Notes - </w:t>
      </w:r>
      <w:r>
        <w:rPr>
          <w:rFonts w:ascii="Times New Roman;serif" w:hAnsi="Times New Roman;serif"/>
          <w:b w:val="false"/>
          <w:color w:val="000000"/>
          <w:sz w:val="20"/>
        </w:rPr>
        <w:t>The carrying value reported for the Senior Notes is shown net of unamortized discount and unamortized deferred financing costs. The fair value of the Senior Notes was determined utilizing a discounted cash flow approach, discounted using market rates, and is classified as Level 3 in the fair value hierarchy.</w:t>
      </w:r>
    </w:p>
    <w:p>
      <w:pPr>
        <w:pStyle w:val="TextBody"/>
        <w:bidi w:val="0"/>
        <w:spacing w:lineRule="auto" w:line="288" w:before="240" w:after="283"/>
        <w:jc w:val="both"/>
        <w:rPr/>
      </w:pPr>
      <w:r>
        <w:rPr>
          <w:rFonts w:ascii="Times New Roman;serif" w:hAnsi="Times New Roman;serif"/>
          <w:b w:val="false"/>
          <w:i/>
          <w:color w:val="000000"/>
          <w:sz w:val="20"/>
        </w:rPr>
        <w:t>Other financial assets and liabilities</w:t>
      </w:r>
      <w:r>
        <w:rPr>
          <w:color w:val="000000"/>
        </w:rPr>
        <w:t xml:space="preserve"> — </w:t>
      </w:r>
      <w:r>
        <w:rPr>
          <w:rFonts w:ascii="Times New Roman;serif" w:hAnsi="Times New Roman;serif"/>
          <w:b w:val="false"/>
          <w:color w:val="000000"/>
          <w:sz w:val="20"/>
        </w:rPr>
        <w:t>The carrying amounts of the Company’s other financial assets and liabilities, such as revenue receivable and accounts payable and accrued liabilities, approximate their fair values because of the short maturity of these instruments.</w:t>
      </w:r>
    </w:p>
    <w:p>
      <w:pPr>
        <w:pStyle w:val="TextBody"/>
        <w:bidi w:val="0"/>
        <w:spacing w:lineRule="auto" w:line="288" w:before="240" w:after="283"/>
        <w:jc w:val="both"/>
        <w:rPr/>
      </w:pP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commodity derivatives - collar option contracts and swaps</w:t>
      </w:r>
      <w:r>
        <w:rPr>
          <w:color w:val="000000"/>
        </w:rPr>
        <w:t xml:space="preserve"> — </w:t>
      </w:r>
      <w:r>
        <w:rPr>
          <w:rFonts w:ascii="Times New Roman;serif" w:hAnsi="Times New Roman;serif"/>
          <w:b w:val="false"/>
          <w:color w:val="000000"/>
          <w:sz w:val="20"/>
        </w:rPr>
        <w:t>The fair value of the Company’s collar option contracts and swap commodity derivative instruments are estimated by management considering various factors, including closing exchange and over-the-counter quotations and the time value of the underlying commitments. The fair value of the Company’s commodity derivative instruments is considered to be a Level 2 measurement. Substantially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68" w:before="240" w:after="283"/>
        <w:jc w:val="both"/>
        <w:rPr/>
      </w:pPr>
      <w:r>
        <w:rPr>
          <w:rFonts w:ascii="Times New Roman;serif" w:hAnsi="Times New Roman;serif"/>
          <w:b w:val="false"/>
          <w:i/>
          <w:color w:val="000000"/>
          <w:sz w:val="20"/>
        </w:rPr>
        <w:t xml:space="preserve">Derivative instruments - commodity derivatives - power capacity contract </w:t>
      </w:r>
      <w:r>
        <w:rPr>
          <w:color w:val="000000"/>
        </w:rPr>
        <w:t xml:space="preserve">— </w:t>
      </w:r>
      <w:r>
        <w:rPr>
          <w:rFonts w:ascii="Times New Roman;serif" w:hAnsi="Times New Roman;serif"/>
          <w:b w:val="false"/>
          <w:color w:val="000000"/>
          <w:sz w:val="20"/>
        </w:rPr>
        <w:t>The fair value of the Company’s power capacity contract is estimated by management using a valuation model that incorporates both observable and unobservable inputs, as well as the time value of the underlying contractual cash flows. The fair value measurement is classified within Level 3 of the fair value hierarchy because significant inputs, including hourly forward power prices over the term of the agreement, are not observable for the term of the arrangement.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utilizes a Monte Carlo simulation model to estimate fair value. Key inputs include: (i) forecasted hourly forward power prices at the applicable delivery nodes of the generation facilities, (ii) forward natural gas prices, (iii) long-term power and natural gas price volatilities and correlations, (iv) expected commercial operation dates of the facilities, (v) assumed operating efficiencies of the facilities, (vi) credit-adjusted discount rates, (vii) risk-free interest rate curves, and (viii) other relevant economic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the valuation incorporates significant unobservable inputs, changes in these assumptions could materially impact the estimated fair value of the arrangement.</w:t>
      </w:r>
    </w:p>
    <w:p>
      <w:pPr>
        <w:pStyle w:val="TextBody"/>
        <w:bidi w:val="0"/>
        <w:spacing w:lineRule="auto" w:line="288" w:before="240" w:after="283"/>
        <w:jc w:val="both"/>
        <w:rPr/>
      </w:pPr>
      <w:r>
        <w:rPr>
          <w:rFonts w:ascii="Times New Roman;serif" w:hAnsi="Times New Roman;serif"/>
          <w:b w:val="false"/>
          <w:i/>
          <w:color w:val="000000"/>
          <w:sz w:val="20"/>
        </w:rPr>
        <w:t>Equity investments</w:t>
      </w:r>
      <w:r>
        <w:rPr>
          <w:color w:val="000000"/>
        </w:rPr>
        <w:t xml:space="preserve"> — </w:t>
      </w:r>
      <w:r>
        <w:rPr>
          <w:rFonts w:ascii="Times New Roman;serif" w:hAnsi="Times New Roman;serif"/>
          <w:b w:val="false"/>
          <w:color w:val="000000"/>
          <w:sz w:val="20"/>
        </w:rPr>
        <w:t xml:space="preserve">The fair value of the Company’s equity investment in common stock was valued using the instrument's publicly listed trading price, which is considered to be a Level 1 measurement due to the use of an observable market quote in an active market.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15, 2025, Crescent Energy completed its previously announced merger with Vital Energy. Under the merger agreement, each issued and outstanding share of Vital Energy common stock was converted into 1.9062 shares of Crescent Energy Class A common stock. As a result of the transaction, the Company’s 685,271 outstanding shares at the time of the merger closing in Vital Energy common stock were converted into 1,306,263 shares of Crescent Energy Class A common stock. As of June 30, 2026, the Company held no equity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June 30, 2026 and December 31, 2025.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881"/>
        <w:gridCol w:w="584"/>
        <w:gridCol w:w="586"/>
        <w:gridCol w:w="211"/>
        <w:gridCol w:w="40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57"/>
        <w:gridCol w:w="931"/>
        <w:gridCol w:w="132"/>
        <w:gridCol w:w="109"/>
        <w:gridCol w:w="109"/>
        <w:gridCol w:w="109"/>
        <w:gridCol w:w="307"/>
        <w:gridCol w:w="919"/>
        <w:gridCol w:w="229"/>
      </w:tblGrid>
      <w:tr>
        <w:trPr/>
        <w:tc>
          <w:tcPr>
            <w:tcW w:w="8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Fair Value</w:t>
              <w:br/>
              <w:t>Presented in the Condensed</w:t>
              <w:br/>
              <w:t>Consolidated</w:t>
              <w:br/>
              <w:t>Balance Sheet</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instruments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754"/>
        <w:gridCol w:w="627"/>
        <w:gridCol w:w="61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88"/>
        <w:gridCol w:w="862"/>
        <w:gridCol w:w="149"/>
        <w:gridCol w:w="109"/>
        <w:gridCol w:w="109"/>
        <w:gridCol w:w="109"/>
        <w:gridCol w:w="276"/>
        <w:gridCol w:w="947"/>
        <w:gridCol w:w="208"/>
      </w:tblGrid>
      <w:tr>
        <w:trPr/>
        <w:tc>
          <w:tcPr>
            <w:tcW w:w="75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Fair Value</w:t>
              <w:br/>
              <w:t>Presented in the Condensed</w:t>
              <w:br/>
              <w:t>Consolidated</w:t>
              <w:br/>
              <w:t>Balance Sheet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 common stock</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instruments</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17,697 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significant unobservable inputs used in the valuation of the Level 3 Power Capacity Contract as of June 30, 2026. </w:t>
      </w:r>
    </w:p>
    <w:tbl>
      <w:tblPr>
        <w:tblW w:w="7562" w:type="dxa"/>
        <w:jc w:val="left"/>
        <w:tblInd w:w="0" w:type="dxa"/>
        <w:tblLayout w:type="fixed"/>
        <w:tblCellMar>
          <w:top w:w="28" w:type="dxa"/>
          <w:left w:w="28" w:type="dxa"/>
          <w:bottom w:w="28" w:type="dxa"/>
          <w:right w:w="28" w:type="dxa"/>
        </w:tblCellMar>
      </w:tblPr>
      <w:tblGrid>
        <w:gridCol w:w="1227"/>
        <w:gridCol w:w="1079"/>
        <w:gridCol w:w="1083"/>
        <w:gridCol w:w="211"/>
        <w:gridCol w:w="691"/>
        <w:gridCol w:w="271"/>
        <w:gridCol w:w="109"/>
        <w:gridCol w:w="109"/>
        <w:gridCol w:w="109"/>
        <w:gridCol w:w="211"/>
        <w:gridCol w:w="721"/>
        <w:gridCol w:w="271"/>
        <w:gridCol w:w="109"/>
        <w:gridCol w:w="109"/>
        <w:gridCol w:w="109"/>
        <w:gridCol w:w="211"/>
        <w:gridCol w:w="616"/>
        <w:gridCol w:w="31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color w:val="000000"/>
                <w:sz w:val="16"/>
              </w:rPr>
              <w:t>Significant Unobservable Inputs</w:t>
            </w:r>
            <w:r>
              <w:rPr>
                <w:rFonts w:ascii="Times New Roman;serif" w:hAnsi="Times New Roman;serif"/>
                <w:b/>
                <w:color w:val="000000"/>
                <w:sz w:val="10"/>
              </w:rPr>
              <w:t>(1)</w:t>
            </w:r>
          </w:p>
        </w:tc>
        <w:tc>
          <w:tcPr>
            <w:tcW w:w="27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Hourly forward power prices per MWh</w:t>
            </w:r>
            <w:r>
              <w:rPr>
                <w:rFonts w:ascii="Times New Roman;serif" w:hAnsi="Times New Roman;serif"/>
                <w:b w:val="false"/>
                <w:color w:val="000000"/>
                <w:sz w:val="13"/>
              </w:rPr>
              <w:t>(2)</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530.52 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Forward gas prices per mmbtu</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power volatility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Forward gas volatility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range of the inputs may be influenced by factors such as time of day, delivery period, season and location. The average represents the arithmetic average of the underlying inputs and is not weighted by the related fair value or notional amount.</w:t>
      </w:r>
    </w:p>
    <w:p>
      <w:pPr>
        <w:pStyle w:val="TextBody"/>
        <w:bidi w:val="0"/>
        <w:spacing w:lineRule="auto" w:line="276" w:before="0" w:after="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0"/>
        </w:rPr>
        <w:t>Based on the Electric Reliability Council of Texas ("ERCOT") West Load Zone monthly forward around the clock swap prices shaped by historical hourly nodal prices in relation to ERCOT West Load Zone.</w:t>
      </w:r>
    </w:p>
    <w:p>
      <w:pPr>
        <w:pStyle w:val="TextBody"/>
        <w:bidi w:val="0"/>
        <w:spacing w:lineRule="auto" w:line="276"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0"/>
        </w:rPr>
        <w:t>Based on the Waha forward monthly gas prices.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fair value of the Level 3 Power Capacity Contract: </w:t>
      </w:r>
    </w:p>
    <w:tbl>
      <w:tblPr>
        <w:tblW w:w="4146" w:type="dxa"/>
        <w:jc w:val="left"/>
        <w:tblInd w:w="0" w:type="dxa"/>
        <w:tblLayout w:type="fixed"/>
        <w:tblCellMar>
          <w:top w:w="28" w:type="dxa"/>
          <w:left w:w="28" w:type="dxa"/>
          <w:bottom w:w="28" w:type="dxa"/>
          <w:right w:w="28" w:type="dxa"/>
        </w:tblCellMar>
      </w:tblPr>
      <w:tblGrid>
        <w:gridCol w:w="1146"/>
        <w:gridCol w:w="1008"/>
        <w:gridCol w:w="1011"/>
        <w:gridCol w:w="211"/>
        <w:gridCol w:w="61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commodity derivatives</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commodity derivatives</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Fair Values – Nonrecurring</w:t>
      </w:r>
    </w:p>
    <w:p>
      <w:pPr>
        <w:pStyle w:val="TextBody"/>
        <w:bidi w:val="0"/>
        <w:spacing w:lineRule="auto" w:line="288" w:before="240" w:after="283"/>
        <w:jc w:val="both"/>
        <w:rPr/>
      </w:pPr>
      <w:r>
        <w:rPr>
          <w:rFonts w:ascii="Times New Roman;serif" w:hAnsi="Times New Roman;serif"/>
          <w:b w:val="false"/>
          <w:i/>
          <w:color w:val="000000"/>
          <w:sz w:val="20"/>
        </w:rPr>
        <w:t>Asset retirement obligations</w:t>
      </w:r>
      <w:r>
        <w:rPr>
          <w:color w:val="000000"/>
        </w:rPr>
        <w:t xml:space="preserve"> — </w:t>
      </w:r>
      <w:r>
        <w:rPr>
          <w:rFonts w:ascii="Times New Roman;serif" w:hAnsi="Times New Roman;serif"/>
          <w:b w:val="false"/>
          <w:color w:val="000000"/>
          <w:sz w:val="20"/>
        </w:rPr>
        <w:t xml:space="preserve">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pStyle w:val="TextBody"/>
        <w:bidi w:val="0"/>
        <w:spacing w:lineRule="auto" w:line="288" w:before="240" w:after="283"/>
        <w:jc w:val="both"/>
        <w:rPr/>
      </w:pPr>
      <w:r>
        <w:rPr>
          <w:rFonts w:ascii="Times New Roman;serif" w:hAnsi="Times New Roman;serif"/>
          <w:b w:val="false"/>
          <w:i/>
          <w:color w:val="000000"/>
          <w:sz w:val="20"/>
        </w:rPr>
        <w:t>Impairments of long-lived assets</w:t>
      </w:r>
      <w:r>
        <w:rPr>
          <w:color w:val="000000"/>
        </w:rPr>
        <w:t xml:space="preserve"> — </w:t>
      </w:r>
      <w:r>
        <w:rPr>
          <w:rFonts w:ascii="Times New Roman;serif" w:hAnsi="Times New Roman;serif"/>
          <w:b w:val="false"/>
          <w:color w:val="000000"/>
          <w:sz w:val="20"/>
        </w:rPr>
        <w:t>The Company periodically reviews its long-lived assets to be held and used whenever events or circumstances indicate that the carrying value of those assets may not be recoverable; for instance, when there are declines in commodity prices or well performance. An impairment loss is recognized for the amount by which the carrying amount of the asset exceeds the estimated fair value of the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calculates the estimated fair values of its long-lived assets using the market and income valuation approaches. The income approach is calculated using a discounted future cash flow model. Fair value assumptions associated with the calculation of discounted future net cash flows include (i) market estimates of commodity prices, which are based on the NYMEX strip, (ii) pricing adjustments for differentials, (iii) production costs, (iv) capital expenditures, (v) production volumes, (vi) estimated proved and unproved reserves, (vii) discount rate, and (viii) risk-adjustment factors. The expected future net cash flows are generally discounted using a market-based rate for proved developed producing reserves and an appropriate market discount rate based on risk for other reserve categories. The Company has historically also used the market approach by identifying market comparisons of recent transactions of oil and gas properties that share geographical and reserve characteristics to assess the fair value of the Company's assets. These are classified as Level 3 fair value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recognized an impairment of $9.1 million on certain unproved oil and natural gas properties as a result of unfavorable drilling results and a revised geologic interpretation of the related acreage. There were no recent comparable transactions of oil and gas properties sharing the geographical and reserve characteristics of the affected acreage. Therefore, the fair value was determined using the income approach. As of June 30, 2026, the Company's estimates of commodity prices for purposes of determining discounted future cash flows, which are based on the NYMEX strip, ranged from a 2026 price of $69.93 per barrel of oil decreasing to a 2030 price of $63.66 per barrel of oil, held flat thereafter. Natural gas prices ranged from a 2026 price of $3.35 per Mcf of natural gas increasing to a 2028 price of $3.68 per Mcf, then held flat beginning in 2030 at a price of $3.57 per Mcf. The resulting cash flows were discounted using a market-based discount rate of 10% then further risked based on reserve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Acquisitions and Divestitures</w:t>
      </w:r>
    </w:p>
    <w:p>
      <w:pPr>
        <w:pStyle w:val="TextBody"/>
        <w:bidi w:val="0"/>
        <w:spacing w:lineRule="auto" w:line="288" w:before="240" w:after="283"/>
        <w:jc w:val="both"/>
        <w:rPr/>
      </w:pPr>
      <w:r>
        <w:rPr>
          <w:rFonts w:ascii="Times New Roman;serif" w:hAnsi="Times New Roman;serif"/>
          <w:b w:val="false"/>
          <w:color w:val="000000"/>
          <w:sz w:val="20"/>
        </w:rPr>
        <w:t xml:space="preserve">During the six months ended June 30, 2026 and 2025, the Company acquired various oil and natural gas properties. The following table presents the cumulative adjusted purchase price of transactions accounted for as asset acquisitions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 xml:space="preserve">(“ASC 805”) by basin included in oil and gas properties on the Company’s condensed consolidated balance sheets: </w:t>
      </w:r>
    </w:p>
    <w:tbl>
      <w:tblPr>
        <w:tblW w:w="3937" w:type="dxa"/>
        <w:jc w:val="left"/>
        <w:tblInd w:w="0" w:type="dxa"/>
        <w:tblLayout w:type="fixed"/>
        <w:tblCellMar>
          <w:top w:w="28" w:type="dxa"/>
          <w:left w:w="28" w:type="dxa"/>
          <w:bottom w:w="28" w:type="dxa"/>
          <w:right w:w="28" w:type="dxa"/>
        </w:tblCellMar>
      </w:tblPr>
      <w:tblGrid>
        <w:gridCol w:w="418"/>
        <w:gridCol w:w="368"/>
        <w:gridCol w:w="370"/>
        <w:gridCol w:w="109"/>
        <w:gridCol w:w="109"/>
        <w:gridCol w:w="109"/>
        <w:gridCol w:w="211"/>
        <w:gridCol w:w="721"/>
        <w:gridCol w:w="109"/>
        <w:gridCol w:w="109"/>
        <w:gridCol w:w="109"/>
        <w:gridCol w:w="109"/>
        <w:gridCol w:w="211"/>
        <w:gridCol w:w="721"/>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disposed of proved properties for total net proceeds of $1.4 million, including estimated purchase price adjustments, which was accounted for as a normal retirement with no gain or loss recorded on the sale. During the six months ended June 30, 2025, the Company sold certain proved and unproved properties for total proceeds of $0.2 million. During the six months ended June 30, 2025, proceeds from the divested unproved properties of $0.1 million resulted in a gain on sale, which is included in other,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Stock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Granite Ridge Resources, Inc. 2022 Omnibus Incentive Plan (the “Plan”) provides the Company the ability to grant, among other award types, stock options, restricted stock awards, and performance stock units ("PSUs") to directors, officers, employees and consultants or advisors employed by or providing service to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granted restricted stock awards, stock options, and PSUs. Stock-based compensation expense during the three and six months ended June 30, 2026 was $1.3 million and $2.6 million, respectively. Stock-based compensation expense during the three and six months ended June 30, 2025 was $0.4 million and $1.0 million, respectively.</w:t>
      </w:r>
    </w:p>
    <w:p>
      <w:pPr>
        <w:pStyle w:val="TextBody"/>
        <w:bidi w:val="0"/>
        <w:spacing w:lineRule="auto" w:line="288" w:before="240" w:after="283"/>
        <w:jc w:val="both"/>
        <w:rPr/>
      </w:pPr>
      <w:r>
        <w:rPr>
          <w:rFonts w:ascii="Times New Roman;serif" w:hAnsi="Times New Roman;serif"/>
          <w:b w:val="false"/>
          <w:i/>
          <w:color w:val="000000"/>
          <w:sz w:val="20"/>
        </w:rPr>
        <w:t>Restricted Stock Awards</w:t>
      </w:r>
      <w:r>
        <w:rPr>
          <w:color w:val="000000"/>
        </w:rPr>
        <w:t xml:space="preserve"> </w:t>
      </w:r>
      <w:r>
        <w:rPr>
          <w:rFonts w:ascii="Times New Roman;serif" w:hAnsi="Times New Roman;serif"/>
          <w:b w:val="false"/>
          <w:color w:val="000000"/>
          <w:sz w:val="20"/>
        </w:rPr>
        <w:t xml:space="preserve">- The Company grants service-based restricted stock awards to certain of its employees and consultants, which generally vest ratably over a period of three years or cliff vest at the end of five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 </w:t>
      </w:r>
    </w:p>
    <w:p>
      <w:pPr>
        <w:pStyle w:val="TextBody"/>
        <w:bidi w:val="0"/>
        <w:spacing w:lineRule="auto" w:line="288" w:before="240" w:after="283"/>
        <w:jc w:val="both"/>
        <w:rPr/>
      </w:pPr>
      <w:r>
        <w:rPr>
          <w:rFonts w:ascii="Times New Roman;serif" w:hAnsi="Times New Roman;serif"/>
          <w:b w:val="false"/>
          <w:i/>
          <w:color w:val="000000"/>
          <w:sz w:val="20"/>
        </w:rPr>
        <w:t>PSUs</w:t>
      </w:r>
      <w:r>
        <w:rPr>
          <w:color w:val="000000"/>
        </w:rPr>
        <w:t xml:space="preserve"> </w:t>
      </w:r>
      <w:r>
        <w:rPr>
          <w:rFonts w:ascii="Times New Roman;serif" w:hAnsi="Times New Roman;serif"/>
          <w:b w:val="false"/>
          <w:color w:val="000000"/>
          <w:sz w:val="20"/>
        </w:rPr>
        <w:t>- The Company grants PSUs to certain of its officers under the Plan. PSUs represent the contingent right to receive shares of the Company’s common stock once the PSU is vested and earned. Certain PSUs granted are based upon the achievement of "financial performance" and "market performance" criteria for the Company. Such PSUs cliff vest at the end of three years, generally subject to continued employment through the performance period. The total number of shares eligible to be earned may range from zero to 200% of the target number of PSUs granted, determined based upon achievement of the determined financial performance and market performance criteria. Financial performance is based on the Company's financial performance at the end of the applicable performance period, while market performance is based on the relative standing of total shareholder return ("TSR") achieved by the Company compared to the TSR achieved by a predetermined group of peer companies at the end of the applicable performance period. The Company utilizes the Monte Carlo simulation method to determine the fair value of the PSUs based on market performance, while PSUs based on financial performance are valued using the closing price of the Company's common stock on the date of grant. During the first quarter of 2026, the Company granted 86,504 PSUs with a performance period ending on December 31, 2028, half of which are related to financial performance criteria and half of which are related to market performance criteria. During the first quarter of 2025, the Company granted 76,650 PSUs with a performance period ending on December 31, 2027, half of which are related to financial performance criteria and half of which are related to market performance criteria. During the first quarter of 2026, the Company issued 21,515 shares of common stock as a result of the conversion of 13,287 PSUs that vested on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PSUs granted are based on the Company's achievement of stock price thresholds. During the second quarter of 2025, the Company granted 644,330 of these PSUs to certain of its officers under the Plan. During the first quarter of 2026, the Company granted an additional 292,398 of these PSUs. Such PSUs are eligible to vest, generally subject to continued employment, upon the satisfaction of certain stock price thresholds during the performance period, which ends on December 31, 2032. Each such PSU is earned based on whether the Company's stock price achieves a target average stock price for any 20 consecutive trading days during the performance period. If the stock price thresholds are not met by the end of the performance period, the PSUs will be forfeited and no shares of common stock will be issued. Compensation expense for these awards is based on the grant date fair market value of the award, calculated using a Monte Carlo simulation, and such costs are recorded on a straight-line basis over the derived requisite service period for each separately vesting portion of the award, as if the award was, in substance, multiple awards, as applicable. During the three months ended June 30, 2026, the Company did not grant any additional PSUs under the Plan.</w:t>
      </w:r>
    </w:p>
    <w:p>
      <w:pPr>
        <w:pStyle w:val="TextBody"/>
        <w:bidi w:val="0"/>
        <w:spacing w:lineRule="auto" w:line="288" w:before="240" w:after="283"/>
        <w:jc w:val="both"/>
        <w:rPr/>
      </w:pPr>
      <w:r>
        <w:rPr>
          <w:rFonts w:ascii="Times New Roman;serif" w:hAnsi="Times New Roman;serif"/>
          <w:b w:val="false"/>
          <w:i/>
          <w:color w:val="000000"/>
          <w:sz w:val="20"/>
        </w:rPr>
        <w:t>Stock Options</w:t>
      </w:r>
      <w:r>
        <w:rPr>
          <w:color w:val="000000"/>
        </w:rPr>
        <w:t xml:space="preserve"> </w:t>
      </w:r>
      <w:r>
        <w:rPr>
          <w:rFonts w:ascii="Times New Roman;serif" w:hAnsi="Times New Roman;serif"/>
          <w:b w:val="false"/>
          <w:color w:val="000000"/>
          <w:sz w:val="20"/>
        </w:rPr>
        <w:t xml:space="preserve">- The Company grants stock options to certain of its officers under the Plan. The Company's outstanding stock options expire 10 years following the date of grant. Pursuant to the stock options granted under the Plan, 33% of the options vest immediately with an additional 33% vesting on each of the next two anniversaries of the date of the grant, generally subject to continued employment through each such vesting date. During the first quarter of 2026,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granted 102,478 stock options with an exercise price of $5.26 per share. During the first quarter of 2025, the Company granted 110,257 stock options with an exercise price of $5.61 per share.</w:t>
      </w:r>
    </w:p>
    <w:p>
      <w:pPr>
        <w:pStyle w:val="TextBody"/>
        <w:bidi w:val="0"/>
        <w:spacing w:lineRule="auto" w:line="288" w:before="240" w:after="283"/>
        <w:jc w:val="both"/>
        <w:rPr/>
      </w:pPr>
      <w:r>
        <w:rPr>
          <w:rFonts w:ascii="Times New Roman;serif" w:hAnsi="Times New Roman;serif"/>
          <w:b w:val="false"/>
          <w:i/>
          <w:color w:val="000000"/>
          <w:sz w:val="20"/>
        </w:rPr>
        <w:t>Other Awards</w:t>
      </w:r>
      <w:r>
        <w:rPr>
          <w:color w:val="000000"/>
        </w:rPr>
        <w:t xml:space="preserve"> </w:t>
      </w:r>
      <w:r>
        <w:rPr>
          <w:rFonts w:ascii="Times New Roman;serif" w:hAnsi="Times New Roman;serif"/>
          <w:b w:val="false"/>
          <w:color w:val="000000"/>
          <w:sz w:val="20"/>
        </w:rPr>
        <w:t xml:space="preserve">- During the three and six months ended June 30, 2026, the Company issued 4,252 and 7,446 common shares, respectively, to a director in lieu of cash compensation. During the three and six months ended June 30, 2025, the Company issued 2,943 and 6,027 common shares, respectively, to a director in lieu of cash compensation. </w:t>
      </w:r>
    </w:p>
    <w:p>
      <w:pPr>
        <w:pStyle w:val="TextBody"/>
        <w:bidi w:val="0"/>
        <w:spacing w:lineRule="auto" w:line="288" w:before="240" w:after="283"/>
        <w:jc w:val="both"/>
        <w:rPr/>
      </w:pPr>
      <w:r>
        <w:rPr>
          <w:rFonts w:ascii="Times New Roman;serif" w:hAnsi="Times New Roman;serif"/>
          <w:b w:val="false"/>
          <w:i/>
          <w:color w:val="000000"/>
          <w:sz w:val="20"/>
        </w:rPr>
        <w:t xml:space="preserve">Stock Awards </w:t>
      </w:r>
      <w:r>
        <w:rPr>
          <w:rFonts w:ascii="Times New Roman;serif" w:hAnsi="Times New Roman;serif"/>
          <w:b w:val="false"/>
          <w:color w:val="000000"/>
          <w:sz w:val="20"/>
        </w:rPr>
        <w:t>- The Company may issue other awards to its employees and consultants under the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activity under the Plan for the restricted stock awards, PSUs and stock options for the six months ended June 30, 2026 is presented below:</w:t>
      </w:r>
    </w:p>
    <w:tbl>
      <w:tblPr>
        <w:tblW w:w="10205" w:type="dxa"/>
        <w:jc w:val="left"/>
        <w:tblInd w:w="0" w:type="dxa"/>
        <w:tblLayout w:type="fixed"/>
        <w:tblCellMar>
          <w:top w:w="28" w:type="dxa"/>
          <w:left w:w="28" w:type="dxa"/>
          <w:bottom w:w="28" w:type="dxa"/>
          <w:right w:w="28" w:type="dxa"/>
        </w:tblCellMar>
      </w:tblPr>
      <w:tblGrid>
        <w:gridCol w:w="1424"/>
        <w:gridCol w:w="1250"/>
        <w:gridCol w:w="1257"/>
        <w:gridCol w:w="618"/>
        <w:gridCol w:w="1115"/>
        <w:gridCol w:w="239"/>
        <w:gridCol w:w="143"/>
        <w:gridCol w:w="143"/>
        <w:gridCol w:w="143"/>
        <w:gridCol w:w="540"/>
        <w:gridCol w:w="1211"/>
        <w:gridCol w:w="260"/>
        <w:gridCol w:w="143"/>
        <w:gridCol w:w="143"/>
        <w:gridCol w:w="143"/>
        <w:gridCol w:w="372"/>
        <w:gridCol w:w="811"/>
        <w:gridCol w:w="250"/>
      </w:tblGrid>
      <w:tr>
        <w:trPr/>
        <w:tc>
          <w:tcPr>
            <w:tcW w:w="14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775,647 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719,407 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298,458 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Awards granted</w:t>
            </w:r>
            <w:r>
              <w:rPr>
                <w:rFonts w:ascii="Times New Roman;serif" w:hAnsi="Times New Roman;serif"/>
                <w:b w:val="false"/>
                <w:color w:val="000000"/>
                <w:sz w:val="13"/>
              </w:rPr>
              <w:t>(1)</w:t>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378,902 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102,478 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canceled/forfeited</w:t>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Awards vested</w:t>
            </w:r>
            <w:r>
              <w:rPr>
                <w:rFonts w:ascii="Times New Roman;serif" w:hAnsi="Times New Roman;serif"/>
                <w:b w:val="false"/>
                <w:color w:val="000000"/>
                <w:sz w:val="13"/>
              </w:rPr>
              <w:t>(2)</w:t>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(305,913)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01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01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1,091,449 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1,085,022 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400,936 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 Weighted average grant date fair value per share / unit</w:t>
            </w:r>
          </w:p>
        </w:tc>
        <w:tc>
          <w:tcPr>
            <w:tcW w:w="6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Represents restricted stock vested and PSUs converted to common stock during the period. During the six months ended June 30, 2026, 68,295 stock options vested. As of June 30, 2026, there were a total of 317,234 stock options exercisable.</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activity under the Plan for the restricted stock awards, PSUs and stock options for the six months ended June 30, 2025 is presented below:</w:t>
      </w:r>
    </w:p>
    <w:tbl>
      <w:tblPr>
        <w:tblW w:w="10205" w:type="dxa"/>
        <w:jc w:val="left"/>
        <w:tblInd w:w="0" w:type="dxa"/>
        <w:tblLayout w:type="fixed"/>
        <w:tblCellMar>
          <w:top w:w="28" w:type="dxa"/>
          <w:left w:w="28" w:type="dxa"/>
          <w:bottom w:w="28" w:type="dxa"/>
          <w:right w:w="28" w:type="dxa"/>
        </w:tblCellMar>
      </w:tblPr>
      <w:tblGrid>
        <w:gridCol w:w="1472"/>
        <w:gridCol w:w="1292"/>
        <w:gridCol w:w="1299"/>
        <w:gridCol w:w="530"/>
        <w:gridCol w:w="1131"/>
        <w:gridCol w:w="242"/>
        <w:gridCol w:w="141"/>
        <w:gridCol w:w="141"/>
        <w:gridCol w:w="141"/>
        <w:gridCol w:w="501"/>
        <w:gridCol w:w="1219"/>
        <w:gridCol w:w="262"/>
        <w:gridCol w:w="141"/>
        <w:gridCol w:w="141"/>
        <w:gridCol w:w="141"/>
        <w:gridCol w:w="365"/>
        <w:gridCol w:w="804"/>
        <w:gridCol w:w="242"/>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518,048 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526,483 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Awards granted</w:t>
            </w:r>
            <w:r>
              <w:rPr>
                <w:rFonts w:ascii="Times New Roman;serif" w:hAnsi="Times New Roman;serif"/>
                <w:b w:val="false"/>
                <w:color w:val="000000"/>
                <w:sz w:val="13"/>
              </w:rPr>
              <w:t>(1)</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625,527 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110,257 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canceled/forfeited</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(97,555)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(99,105)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Awards vested</w:t>
            </w:r>
            <w:r>
              <w:rPr>
                <w:rFonts w:ascii="Times New Roman;serif" w:hAnsi="Times New Roman;serif"/>
                <w:b w:val="false"/>
                <w:color w:val="000000"/>
                <w:sz w:val="13"/>
              </w:rPr>
              <w:t>(2)</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(253,220)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792,800 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719,407 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567,963 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Weighted average grant date fair value per share / unit</w:t>
            </w:r>
          </w:p>
        </w:tc>
        <w:tc>
          <w:tcPr>
            <w:tcW w:w="5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Represents restricted stock and PSUs vested during the period. During the six months ended June 30, 2025, 212,249 stock options vested. As of June 30, 2025, there were a total of 518,444 stock options exercisable.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7.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C corporation and subject to U.S. federal, state, and local income taxes. The Company records income taxes through the use of an estimated annual effective tax rate and specific events that are discretely recognized as they occur. For the three and six months ended June 30, 2026, the Company recorded income tax expense of $8.9 million and income tax benefit of $4.8 million, respectively. For the three and six months ended June 30, 2025, the Company recorded income tax expense of $7.8 million and $10.7 million, respectively.</w:t>
      </w:r>
    </w:p>
    <w:p>
      <w:pPr>
        <w:pStyle w:val="TextBody"/>
        <w:bidi w:val="0"/>
        <w:spacing w:lineRule="auto" w:line="288" w:before="240" w:after="283"/>
        <w:jc w:val="both"/>
        <w:rPr/>
      </w:pPr>
      <w:r>
        <w:rPr>
          <w:rFonts w:ascii="Times New Roman;serif" w:hAnsi="Times New Roman;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22.8% and 21.8% for the three and six months ended June 30, 2026, respectively.</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three and six months ended June 30, 2025, the Company’s effective income tax rate was 23.7% and 23.4%, respectively. </w:t>
      </w:r>
      <w:r>
        <w:rPr>
          <w:rFonts w:ascii="Times New Roman;serif" w:hAnsi="Times New Roman;serif"/>
          <w:b w:val="false"/>
          <w:color w:val="000000"/>
          <w:sz w:val="20"/>
          <w:shd w:fill="FFFFFF" w:val="clear"/>
        </w:rPr>
        <w:t xml:space="preserve">The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tax positions for which the statute of limitations remains open and believes that the material positions taken would more likely than not be sustained upon examination. Therefore, as of June 30, 2026 and December 31, 2025, the Company had no unrecognized tax benefits and did not recognize any interest or penalties during those respective periods related to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debt is comprised of the following:</w:t>
      </w:r>
    </w:p>
    <w:tbl>
      <w:tblPr>
        <w:tblW w:w="7843" w:type="dxa"/>
        <w:jc w:val="left"/>
        <w:tblInd w:w="0" w:type="dxa"/>
        <w:tblLayout w:type="fixed"/>
        <w:tblCellMar>
          <w:top w:w="28" w:type="dxa"/>
          <w:left w:w="28" w:type="dxa"/>
          <w:bottom w:w="28" w:type="dxa"/>
          <w:right w:w="28" w:type="dxa"/>
        </w:tblCellMar>
      </w:tblPr>
      <w:tblGrid>
        <w:gridCol w:w="1630"/>
        <w:gridCol w:w="1432"/>
        <w:gridCol w:w="1437"/>
        <w:gridCol w:w="109"/>
        <w:gridCol w:w="109"/>
        <w:gridCol w:w="109"/>
        <w:gridCol w:w="211"/>
        <w:gridCol w:w="826"/>
        <w:gridCol w:w="109"/>
        <w:gridCol w:w="109"/>
        <w:gridCol w:w="109"/>
        <w:gridCol w:w="109"/>
        <w:gridCol w:w="273"/>
        <w:gridCol w:w="1072"/>
        <w:gridCol w:w="199"/>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on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462,108 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385,332 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 Current portion of outstanding long-term 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427,108 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367,832 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(1)As of June 30, 2026 and December 31, 2025, the current portion of long-term debt reflects $35.0 million</w:t>
      </w:r>
      <w:r>
        <w:rPr>
          <w:color w:val="000000"/>
        </w:rPr>
        <w:t xml:space="preserve"> </w:t>
      </w:r>
      <w:r>
        <w:rPr>
          <w:rFonts w:ascii="Times New Roman;serif" w:hAnsi="Times New Roman;serif"/>
          <w:b w:val="false"/>
          <w:color w:val="000000"/>
          <w:sz w:val="20"/>
        </w:rPr>
        <w:t>and $17.5 million, respectively, due on the Senior Notes over the twelve months following the reported date.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Granite Ridge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Granite Ridge entered into a senior secured revolving credit agreement (as amended, the “Credit Agreement”) with a syndicate of banks, currently led by Bank of America, N.A., as administrative agent. The Credit Agreement has a maturity date of the earliest to occur of (A) November 5, 2029 or (B) the date that is ninety-one days prior to the stated maturity date of the unsecured senior notes issued in November 2025 if any such notes remain outstanding on such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borrowing base is redetermined semiannually on or about April 1 and October 1 of each calendar year, and is subject to additional adjustments from time to time, including for asset sales, elimination or reduction of hedge positions and incurrence of other debt. As of June 30, 2026, the Company had a borrowing base of $375.0 million and elected commitments of $375.0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outstanding borrowings of $125.0 million and $0.3 million of letters of credit issued and outstanding under the Credit Agreement, resulting in availability of $249.7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275 to 375 basis points, depending on the percentage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 base utilized. Base rate loans bear interest at a rate per annum equal to the greatest of: (i) the U.S. prime rate as publicly announced from time to time by Bank of America, N.A.; (ii) the federal funds effective rate plus 50 basis points; (iii) the adjusted SOFR rate for a one-month interest period plus 100 basis points; and (iv) 100 basis points plus, in the case of any base rate loan, an applicable margin ranging from 175 to 275 basis points, depending on the percentage of the borrowing base utilized.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(ii)a Current Ratio (as defined in the Credit Agreement), of not less than 1.00 to 1.00 as of the last day of each fiscal quarter, and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(iii)an Asset Coverage Ratio (as defined in the Credit Agreement), commencing with the fiscal quarter ended June 30, 2026, of not less than (a) for each such fiscal quarter ending prior to December 31, 2026, 1.25 to 1.00 and (b) for each such fiscal quarter ending on or after December 31, 2026, 1.50 to 1.00.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covenants required by the Credit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2029 Senior Notes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as issuer, completed an issuance of $350.0 million aggregate principal amount of 8.875% senior unsecured notes at 96.0% of par with stated maturity on November 5, 2029 (the “2029 Senior Notes”) pursuant to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is due at the end of each quarter.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As of June 30, 2026, the Company had $35.0 million included in current liabilities in the condensed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2029 Senior Notes include certain covenants, which, among other things, requires the maintenance of (i) a net leverage ratio not greater than 3.25 to 1.00 and (ii) an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Under the 2029 Senior Notes, the Company must maintain a minimum hedging requirement included within the Senior Notes for oil and natural gas based on proved developed producing projected volumes for each commodity on a rolling 18-month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financial covenants required by the Note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paid dividends of $14.5 million, or $0.11 per share, and $29.0 million, or $0.22 per share during the three and six months ended June 30, 2026, respectively. For the three and six months ended June 30, 2025, the Company paid dividends of $14.4 million, or $0.11 per share, and $28.8 million, or $0.22 per share, respectively. Any payment of future dividends will be at the discretion of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paid the Manager an annual services fee of $10.0 million and reimbursed the Manager for certain Granite Ridge group costs related to the operation of the Company's assets (including for third party costs allocated or attributable to the assets of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2025, the Company entered into Amendment No. 1 to the Management Services Agreement, which amended the Company's existing MSA with the Manager ("Amendment No. 1"). Amendment No. 1, among other things, (a) extended the initial term from April 30, 2028 to April 30, 2031 and (b) increased the Services Fee (as defined in the MSA) from $10.0 million to $11.75 million effective January 1, 2026, provided for annual CPI-based adjustments beginning January 1, 2027 and delegated to management the authority to increase the Services Fee up to a maximum total of $12.5 million. The MSA will automatically renew for additional consecutive one-year renewal terms until terminated in accordance with its terms. Upon any termination of the MSA, the Manager shall provide transition services for a period of up to 90 days.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service fees for the Company under the MSA were approximately $2.9 million and $5.9 million, respectively, and are included in general and administrative expenses within the accompanying condensed consolidated statements of operations. For the three and six months ended June 30, 2025, service fees for the Company under the MSA were approximately $2.5 million and $5.0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12, 2025, Granite Ridge Ventures, LLC, a Delaware limited liability company and wholly owned subsidiary of the Company, entered into a power capacity contract with a portfolio company of funds managed by affiliates of Grey Rock Investment Partners ("Conduit Bravo"). An unrelated third party entered into a transaction with Conduit Bravo on substantially similar terms and at a substantially similar time to this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Risk Concentrations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maintains its cash balances in financial institutions, which at times may exceed federally insured limits. The Company is subject to credit risk to the extent any financial institution with which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erif" w:hAnsi="Times New Roman;serif"/>
          <w:b w:val="false"/>
          <w:i/>
          <w:color w:val="000000"/>
          <w:sz w:val="20"/>
        </w:rPr>
        <w:t>Derivative Counterparties</w:t>
      </w:r>
      <w:r>
        <w:rPr>
          <w:color w:val="000000"/>
        </w:rPr>
        <w:t xml:space="preserve"> </w:t>
      </w:r>
      <w:r>
        <w:rPr>
          <w:rFonts w:ascii="Times New Roman;serif" w:hAnsi="Times New Roman;serif"/>
          <w:b w:val="false"/>
          <w:color w:val="000000"/>
          <w:sz w:val="20"/>
        </w:rPr>
        <w:t>- The Company uses credit and other financial criteria to evaluate the creditworthiness of counterparties to its derivative instruments. The Company believes that all of its derivative counterparties are currently acceptable credit risks. All of the Company’s outstanding derivative instruments are covered by International Swap Dealers Association Master Agreements (“ISDAs”). All collar option contracts and swap derivatives entered into are with parties that are also lenders under the Company’s Credit Agreement. The Company’s obligations under the derivative instruments, with the exception of the Power Capacity Contract, are secured pursuant to the Credit Agreement, and no additional collateral has been posted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Earnings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two-class method of calculating earnings (loss) per share because certain of the Company’s unvested stock-based awards qualify as participating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TextBody"/>
        <w:bidi w:val="0"/>
        <w:spacing w:lineRule="auto" w:line="288" w:before="240" w:after="283"/>
        <w:jc w:val="both"/>
        <w:rPr/>
      </w:pPr>
      <w:r>
        <w:rPr>
          <w:rFonts w:ascii="Times New Roman;serif" w:hAnsi="Times New Roman;serif"/>
          <w:b w:val="false"/>
          <w:color w:val="000000"/>
          <w:sz w:val="20"/>
        </w:rPr>
        <w:t>The computation of diluted net income (loss) per share excludes contingently issuable shares related to certain market-based equity awards as the required market price conditions had not been satisfied as of the end of the reporting period. These awards represent 936,728</w:t>
      </w:r>
      <w:r>
        <w:rPr>
          <w:color w:val="000000"/>
        </w:rPr>
        <w:t xml:space="preserve"> </w:t>
      </w:r>
      <w:r>
        <w:rPr>
          <w:rFonts w:ascii="Times New Roman;serif" w:hAnsi="Times New Roman;serif"/>
          <w:b w:val="false"/>
          <w:color w:val="000000"/>
          <w:sz w:val="20"/>
        </w:rPr>
        <w:t>shares of common stock that may be issued if specified market price targets are achieved. Because the market conditions were not met as of June 30, 2026, the shares were not included in the diluted weighted average share count. If the market conditions are satisfied in future periods, these shares could have a dilutive effect on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basic and diluted earnings per share computations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235"/>
        <w:gridCol w:w="968"/>
        <w:gridCol w:w="892"/>
        <w:gridCol w:w="278"/>
        <w:gridCol w:w="952"/>
        <w:gridCol w:w="144"/>
        <w:gridCol w:w="144"/>
        <w:gridCol w:w="144"/>
        <w:gridCol w:w="144"/>
        <w:gridCol w:w="278"/>
        <w:gridCol w:w="952"/>
        <w:gridCol w:w="144"/>
        <w:gridCol w:w="144"/>
        <w:gridCol w:w="144"/>
        <w:gridCol w:w="144"/>
        <w:gridCol w:w="278"/>
        <w:gridCol w:w="999"/>
        <w:gridCol w:w="144"/>
        <w:gridCol w:w="144"/>
        <w:gridCol w:w="144"/>
        <w:gridCol w:w="144"/>
        <w:gridCol w:w="278"/>
        <w:gridCol w:w="952"/>
        <w:gridCol w:w="144"/>
        <w:gridCol w:w="109"/>
        <w:gridCol w:w="162"/>
      </w:tblGrid>
      <w:tr>
        <w:trPr/>
        <w:tc>
          <w:tcPr>
            <w:tcW w:w="123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25,081 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(17,035)</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34,893 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basic earnings (a)</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stockholders</w:t>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of participating earnings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stockholders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performance stock units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130,824 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130,588 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130,713 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24"/>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PSUs and stock options, which were not included in the computation of diluted earnings per share, as inclusion of these items would be antidilutive. </w:t>
      </w:r>
    </w:p>
    <w:tbl>
      <w:tblPr>
        <w:tblW w:w="9629" w:type="dxa"/>
        <w:jc w:val="left"/>
        <w:tblInd w:w="0" w:type="dxa"/>
        <w:tblLayout w:type="fixed"/>
        <w:tblCellMar>
          <w:top w:w="28" w:type="dxa"/>
          <w:left w:w="28" w:type="dxa"/>
          <w:bottom w:w="28" w:type="dxa"/>
          <w:right w:w="28" w:type="dxa"/>
        </w:tblCellMar>
      </w:tblPr>
      <w:tblGrid>
        <w:gridCol w:w="1204"/>
        <w:gridCol w:w="1060"/>
        <w:gridCol w:w="1066"/>
        <w:gridCol w:w="573"/>
        <w:gridCol w:w="253"/>
        <w:gridCol w:w="251"/>
        <w:gridCol w:w="251"/>
        <w:gridCol w:w="251"/>
        <w:gridCol w:w="251"/>
        <w:gridCol w:w="573"/>
        <w:gridCol w:w="253"/>
        <w:gridCol w:w="251"/>
        <w:gridCol w:w="109"/>
        <w:gridCol w:w="109"/>
        <w:gridCol w:w="109"/>
        <w:gridCol w:w="532"/>
        <w:gridCol w:w="294"/>
        <w:gridCol w:w="230"/>
        <w:gridCol w:w="230"/>
        <w:gridCol w:w="230"/>
        <w:gridCol w:w="230"/>
        <w:gridCol w:w="532"/>
        <w:gridCol w:w="294"/>
        <w:gridCol w:w="230"/>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antidilutive common shares: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performance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250,566 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107,107 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134,411 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399,356 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621,624 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365,833 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584,765 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common shares</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511,460 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872,190 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472,940 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719,176 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Dividend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declared a regular quarterly cash dividend of $0.11 for the third quarter of 2026. The dividend will be paid on September 14, 2026 to stockholders of record as of August 28,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Seventh Amendment to the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Company and its lenders entered into the Seventh Amendment to Credit Agreement, which amended the Credit Agreement to increase the pro forma net leverage ratio requirement for purposes of the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 and debt redemption covenants to 1.75 to 1.00 (from 1.50 to 1.00) for the period between August 3, 2026 and January 1, 2027.</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Reincorporation into Texas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the Company completed its reincorporation from the State of Delaware to the State of Texas by means of a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Supplementary Data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Capitalized Costs</w:t>
      </w:r>
    </w:p>
    <w:tbl>
      <w:tblPr>
        <w:tblW w:w="7637"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43"/>
        <w:gridCol w:w="1125"/>
        <w:gridCol w:w="177"/>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1,788,292 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(857,832)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capitalized costs for oil and natural gas properties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1,039,556 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Costs Incurred for Oil and Natural Gas Producing Activities</w:t>
      </w:r>
    </w:p>
    <w:tbl>
      <w:tblPr>
        <w:tblW w:w="10205" w:type="dxa"/>
        <w:jc w:val="left"/>
        <w:tblInd w:w="0" w:type="dxa"/>
        <w:tblLayout w:type="fixed"/>
        <w:tblCellMar>
          <w:top w:w="28" w:type="dxa"/>
          <w:left w:w="28" w:type="dxa"/>
          <w:bottom w:w="28" w:type="dxa"/>
          <w:right w:w="28" w:type="dxa"/>
        </w:tblCellMar>
      </w:tblPr>
      <w:tblGrid>
        <w:gridCol w:w="1425"/>
        <w:gridCol w:w="1227"/>
        <w:gridCol w:w="1216"/>
        <w:gridCol w:w="403"/>
        <w:gridCol w:w="406"/>
        <w:gridCol w:w="270"/>
        <w:gridCol w:w="191"/>
        <w:gridCol w:w="191"/>
        <w:gridCol w:w="191"/>
        <w:gridCol w:w="390"/>
        <w:gridCol w:w="406"/>
        <w:gridCol w:w="270"/>
        <w:gridCol w:w="109"/>
        <w:gridCol w:w="109"/>
        <w:gridCol w:w="109"/>
        <w:gridCol w:w="366"/>
        <w:gridCol w:w="389"/>
        <w:gridCol w:w="392"/>
        <w:gridCol w:w="176"/>
        <w:gridCol w:w="176"/>
        <w:gridCol w:w="176"/>
        <w:gridCol w:w="348"/>
        <w:gridCol w:w="390"/>
        <w:gridCol w:w="391"/>
        <w:gridCol w:w="109"/>
        <w:gridCol w:w="109"/>
        <w:gridCol w:w="109"/>
        <w:gridCol w:w="161"/>
      </w:tblGrid>
      <w:tr>
        <w:trPr/>
        <w:tc>
          <w:tcPr>
            <w:tcW w:w="142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acquisition costs: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26,234</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costs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5,339</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5,339</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73,131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131,427</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incurred for oil and natural gas properties</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95,154</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163,591</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The following discussion contains </w:t>
      </w:r>
      <w:r>
        <w:rPr>
          <w:color w:val="000000"/>
        </w:rPr>
        <w:t>“</w:t>
      </w:r>
      <w:r>
        <w:rPr>
          <w:rFonts w:ascii="Times New Roman;serif" w:hAnsi="Times New Roman;serif"/>
          <w:b w:val="false"/>
          <w:i/>
          <w:color w:val="000000"/>
          <w:sz w:val="20"/>
        </w:rPr>
        <w:t>forward</w:t>
      </w:r>
      <w:r>
        <w:rPr>
          <w:color w:val="000000"/>
        </w:rPr>
        <w:noBreakHyphen/>
      </w:r>
      <w:r>
        <w:rPr>
          <w:rFonts w:ascii="Times New Roman;serif" w:hAnsi="Times New Roman;serif"/>
          <w:b w:val="false"/>
          <w:i/>
          <w:color w:val="000000"/>
          <w:sz w:val="20"/>
        </w:rPr>
        <w:t>looking statements</w:t>
      </w:r>
      <w:r>
        <w:rPr>
          <w:color w:val="000000"/>
        </w:rPr>
        <w:t xml:space="preserve">” </w:t>
      </w:r>
      <w:r>
        <w:rPr>
          <w:rFonts w:ascii="Times New Roman;serif" w:hAnsi="Times New Roman;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erif" w:hAnsi="Times New Roman;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2025 (the "2025 Form 10-K")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level of our 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price differential to the NYMEX benchmark price during the three months ended June 30, 2026 and 2025 was a discount of $(1.72) per barrel and $(3.16) per barrel, respectively. For the six months ended June 30, 2026 and 2025,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oil price differential to the NYMEX benchmark price was a discount of $(2.32) per barrel and $(3.01) per barrel,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natural gas price differential to the average NYMEX price during the three months ended June 30, 2026 and 2025 was a discount of $(1.83) per Mcf and $(0.87) per Mcf, respectively. For the six months ended June 30, 2026 and 2025, our natural gas price differential to the average NYMEX price was a discount of $(1.93) per Mcf and $(0.55)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commodity prices have been volatile, and we expect that volatility to continue in the future. 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Prices for various quantities of oil and natural gas that we produce significantly impact our revenues and cash flows. The following table lists average NYMEX spot prices for oil and natural gas for the three and six months ended June 30, 2026 and 2025.</w:t>
      </w:r>
    </w:p>
    <w:tbl>
      <w:tblPr>
        <w:tblW w:w="7605" w:type="dxa"/>
        <w:jc w:val="left"/>
        <w:tblInd w:w="0" w:type="dxa"/>
        <w:tblLayout w:type="fixed"/>
        <w:tblCellMar>
          <w:top w:w="28" w:type="dxa"/>
          <w:left w:w="28" w:type="dxa"/>
          <w:bottom w:w="28" w:type="dxa"/>
          <w:right w:w="28" w:type="dxa"/>
        </w:tblCellMar>
      </w:tblPr>
      <w:tblGrid>
        <w:gridCol w:w="809"/>
        <w:gridCol w:w="711"/>
        <w:gridCol w:w="714"/>
        <w:gridCol w:w="403"/>
        <w:gridCol w:w="285"/>
        <w:gridCol w:w="286"/>
        <w:gridCol w:w="208"/>
        <w:gridCol w:w="208"/>
        <w:gridCol w:w="208"/>
        <w:gridCol w:w="403"/>
        <w:gridCol w:w="285"/>
        <w:gridCol w:w="286"/>
        <w:gridCol w:w="109"/>
        <w:gridCol w:w="109"/>
        <w:gridCol w:w="109"/>
        <w:gridCol w:w="362"/>
        <w:gridCol w:w="285"/>
        <w:gridCol w:w="286"/>
        <w:gridCol w:w="187"/>
        <w:gridCol w:w="187"/>
        <w:gridCol w:w="187"/>
        <w:gridCol w:w="362"/>
        <w:gridCol w:w="255"/>
        <w:gridCol w:w="36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Average NYMEX Prices</w:t>
            </w:r>
            <w:r>
              <w:rPr>
                <w:rFonts w:ascii="Times New Roman;serif" w:hAnsi="Times New Roman;serif"/>
                <w:b w:val="false"/>
                <w:color w:val="000000"/>
                <w:sz w:val="13"/>
              </w:rPr>
              <w:t>(1)</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4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62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5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r>
      <w:tr>
        <w:trPr/>
        <w:tc>
          <w:tcPr>
            <w:tcW w:w="7605" w:type="dxa"/>
            <w:gridSpan w:val="24"/>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(1)Based on average NYMEX spot prices.</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average NYMEX oil pricing was $95.65 per barrel of oil, or 48% higher than the average NYMEX price per barrel for the three months ended June 30, 2025. Our settled derivatives decreased our realized oil price per barrel by $18.28 for the three months ended June 30, 2026 and increased our realized oil price per barrel by $0.49 for the three months ended June 30, 2025. For the three months ended June 30, 2026, our average realized oil price per barrel after reflecting settled derivatives was $75.65 compared to $61.90 for the three months ended June 30, 2025. For the six months ended June 30, 2026, the average NYMEX oil pricing was $84.29 per barrel of oil, or 24% higher than the average NYMEX price per barrel for the six months ended June 30, 2025. Our settled derivatives decreased our realized oil price per barrel by $11.30 for the six months ended June 30, 2026 and increased our realized oil price per barrel by $0.23 for the six months ended June 30, 2025. For the six months ended June 30, 2026, our average realized oil price per barrel after reflecting settled derivatives was $70.67 compared to $65.34 for the six months ended June 30,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average NYMEX natural gas pricing was $2.95 per Mcf, or 8% lower than the average NYMEX price per Mcf for the three months ended June 30, 2025. Our settled derivatives increased our realized natural gas price per Mcf by $0.52 and $0.03 for the three months ended June 30, 2026 and 2025, respectively. For the three months ended June 30, 2026, our average realized natural gas price per Mcf after reflecting settled derivatives was $1.64 compared to $2.35 for the three months ended June 30, 2025. For the six months ended June 30, 2026, the average NYMEX natural gas pricing was $3.81 per Mcf, or 4% higher than the average NYMEX price per Mcf for the six months ended June 30, 2025. Our settled derivatives decreased our realized natural gas price per Mcf by $0.06 for the six months ended June 30, 2026 and increased our realized natural gas price per Mcf by $0.01 for the six months ended June 30, 2025. For the six months ended June 30, 2026, our average realized natural gas price per Mcf after reflecting settled derivatives was $1.82 compared to $3.12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summary production and operating data for the periods indicated. Because of normal production declines, increased or decreased drilling activities, fluctuations in commodity prices and the effects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1289"/>
        <w:gridCol w:w="936"/>
        <w:gridCol w:w="939"/>
        <w:gridCol w:w="249"/>
        <w:gridCol w:w="938"/>
        <w:gridCol w:w="138"/>
        <w:gridCol w:w="138"/>
        <w:gridCol w:w="138"/>
        <w:gridCol w:w="138"/>
        <w:gridCol w:w="249"/>
        <w:gridCol w:w="938"/>
        <w:gridCol w:w="138"/>
        <w:gridCol w:w="138"/>
        <w:gridCol w:w="138"/>
        <w:gridCol w:w="138"/>
        <w:gridCol w:w="249"/>
        <w:gridCol w:w="938"/>
        <w:gridCol w:w="138"/>
        <w:gridCol w:w="138"/>
        <w:gridCol w:w="138"/>
        <w:gridCol w:w="138"/>
        <w:gridCol w:w="249"/>
        <w:gridCol w:w="938"/>
        <w:gridCol w:w="138"/>
        <w:gridCol w:w="109"/>
        <w:gridCol w:w="109"/>
        <w:gridCol w:w="109"/>
        <w:gridCol w:w="172"/>
      </w:tblGrid>
      <w:tr>
        <w:trPr/>
        <w:tc>
          <w:tcPr>
            <w:tcW w:w="128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Sales (in thousands):</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sales</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139,674 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89,462 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243,120 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181,309 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and related product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149,273 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109,219 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277,537 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232,150 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Production:</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(MBbl)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(MMcf)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16"/>
              </w:rPr>
              <w:t>Total (MBoe)</w:t>
            </w:r>
            <w:r>
              <w:rPr>
                <w:rFonts w:ascii="Times New Roman;serif" w:hAnsi="Times New Roman;serif"/>
                <w:b w:val="false"/>
                <w:color w:val="000000"/>
                <w:sz w:val="10"/>
              </w:rPr>
              <w:t>(1)</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5,505 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Average Daily Production:</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(Mcf)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94,220 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93,404 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101,166 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90,200 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16"/>
              </w:rPr>
              <w:t>Total (Boe)</w:t>
            </w:r>
            <w:r>
              <w:rPr>
                <w:rFonts w:ascii="Times New Roman;serif" w:hAnsi="Times New Roman;serif"/>
                <w:b w:val="false"/>
                <w:color w:val="000000"/>
                <w:sz w:val="10"/>
              </w:rPr>
              <w:t>(1)</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32,044 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31,576 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33,249 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30,417 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Average Sales Prices:</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(per Bbl)</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gain (loss) on settled oil derivatives on average price (per 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Oil net of settled oil derivatives (per Bbl)</w:t>
            </w:r>
            <w:r>
              <w:rPr>
                <w:rFonts w:ascii="Times New Roman;serif" w:hAnsi="Times New Roman;serif"/>
                <w:b w:val="false"/>
                <w:color w:val="000000"/>
                <w:sz w:val="10"/>
              </w:rPr>
              <w:t>(2)</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75.65 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70.67 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sales (per Mcf)</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gain (loss) on settled natural gas derivatives on average price (per Mcf)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Natural gas sales net of settled natural gas derivatives (per Mcf)</w:t>
            </w:r>
            <w:r>
              <w:rPr>
                <w:rFonts w:ascii="Times New Roman;serif" w:hAnsi="Times New Roman;serif"/>
                <w:b w:val="false"/>
                <w:color w:val="000000"/>
                <w:sz w:val="10"/>
              </w:rPr>
              <w:t>(2)</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price on a Boe basis excluding settled commodity derivatives</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gain (loss) on settled commodity derivatives on average price (per Boe)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Realized price on a Boe basis including settled commodity derivatives</w:t>
            </w:r>
            <w:r>
              <w:rPr>
                <w:rFonts w:ascii="Times New Roman;serif" w:hAnsi="Times New Roman;serif"/>
                <w:b w:val="false"/>
                <w:color w:val="000000"/>
                <w:sz w:val="10"/>
              </w:rPr>
              <w:t>(2)</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43.39 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42.33 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Expenses (in thousands):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Lease operating expenses</w:t>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59,640 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ad valorem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53,412 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107,645 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101,857 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Costs and Expenses (per Boe):</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Lease operating expenses</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ad valorem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Producing Wells at Period-End:</w:t>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249.92 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227.42 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249.92 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227.42 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706" w:type="dxa"/>
            <w:gridSpan w:val="24"/>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presentation of realized prices including settled commodity derivatives is a result of including the net cash receipts from (payments on) commodity derivatives that are presented in the footnotes to our condensed consolidated financial statements.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Oil, Natural Gas and Related Product Sales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vary from year to year primarily due to changes in realized commodity prices and production volumes. Our oil and natural gas sales for the three months ended June 30, 2026 increased 37% from the same period in 2025. Oil revenues for the three months ended June 30, 2026 increased by 56% compared to the same period in 2025, driven by a 2% increase in production and a 53% increase in realized prices, excluding the effect of settled commodity derivatives. Natural gas revenues decreased by 51% for the three months ended June 30, 2026 compared to 2025, driven by a 52% decrease in realized natural gas prices, excluding the effect of settled commodity derivatives, partially offset by a 1% increase in production.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and natural gas sales for the six months ended June 30, 2026 increased 20% from the same period in 2025. Oil revenues increased by 34% compared to the same period in 2025, driven by a 7% increase in production and a 26% increase in realized prices, excluding the effect of settled commodity derivatives. Natural gas revenues decreased by 32% compared to the same period in 2025 as a result of a 40% decrease in realized natural gas prices, excluding the effect of settled commodity derivatives, partially offset by a 12% increase in production.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from oil and gas properties increased as a result of drilling success and the acquisition of additional net revenue interests. The number of wells we participated in increased from 227.42 net wells on June 30, 2025 to 249.92 net wells on June 30, 2026.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 Operating Expenses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Lease operating expenses were $30.0 million ($10.27 per Boe) for the three months ended June 30, 2026, an increase of 49% from $20.1 million ($7.00 per Boe) during the same period in 2025. The increase</w:t>
      </w:r>
      <w:r>
        <w:rPr>
          <w:color w:val="000000"/>
        </w:rPr>
        <w:t xml:space="preserve"> </w:t>
      </w:r>
      <w:r>
        <w:rPr>
          <w:rFonts w:ascii="Times New Roman;serif" w:hAnsi="Times New Roman;serif"/>
          <w:b w:val="false"/>
          <w:color w:val="000000"/>
          <w:sz w:val="20"/>
        </w:rPr>
        <w:t>was primarily due to an increase in well count due to acquisitions and additional wells successfully drilled and completed, increased saltwater disposal costs as a result of higher water cuts and flowback operations, surface equipment rentals, and contract labor.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operating expenses were $59.6 million ($9.91 per Boe) for the six months ended June 30, 2026, an increase of 64% from $36.4 million ($6.60 per Boe) during the same period in 2025. The increase was primarily due to an increase in well count due to acquisitions and additional wells successfully drilled and completed, increased saltwater disposal costs as a result of higher water cuts and flowback operations, surface equipment rentals, contract labor, and recognition of minimum volume commitment delinquencies.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Production and Ad Valorem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pay production taxes based on realized oil and natural gas sales. Production taxes were $6.6 million ($2.26 per Boe) for the three months ended June 30, 2026 compared to $5.3 million ($1.86 per Boe) during the same period in 2025. As a percentage of oil and natural gas sales, our production taxes were 4% and 5% during the three months ended June 30, 2026 and 2025,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taxes were $12.7 million ($2.11 per Boe) for the six months ended June 30, 2026 compared to $11.9 million ($2.16 per Boe) during the same period in 2025. As a percentage of oil and natural gas sales, our production taxes were 5% during both the six months ended June 30, 2026 and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Ad valorem taxes were $2.7 million</w:t>
      </w:r>
      <w:r>
        <w:rPr>
          <w:color w:val="000000"/>
        </w:rPr>
        <w:t xml:space="preserve"> </w:t>
      </w:r>
      <w:r>
        <w:rPr>
          <w:rFonts w:ascii="Times New Roman;serif" w:hAnsi="Times New Roman;serif"/>
          <w:b w:val="false"/>
          <w:color w:val="000000"/>
          <w:sz w:val="20"/>
        </w:rPr>
        <w:t>and $4.8 million</w:t>
      </w:r>
      <w:r>
        <w:rPr>
          <w:color w:val="000000"/>
        </w:rPr>
        <w:t xml:space="preserve"> </w:t>
      </w:r>
      <w:r>
        <w:rPr>
          <w:rFonts w:ascii="Times New Roman;serif" w:hAnsi="Times New Roman;serif"/>
          <w:b w:val="false"/>
          <w:color w:val="000000"/>
          <w:sz w:val="20"/>
        </w:rPr>
        <w:t xml:space="preserve">for the </w:t>
      </w:r>
      <w:r>
        <w:rPr>
          <w:rFonts w:ascii="Times New Roman;serif" w:hAnsi="Times New Roman;serif"/>
          <w:b w:val="false"/>
          <w:color w:val="000000"/>
          <w:sz w:val="20"/>
          <w:shd w:fill="FFFFFF" w:val="clear"/>
        </w:rPr>
        <w:t>three and six months ended June 30, 2026</w:t>
      </w:r>
      <w:r>
        <w:rPr>
          <w:rFonts w:ascii="Times New Roman;serif" w:hAnsi="Times New Roman;serif"/>
          <w:b w:val="false"/>
          <w:color w:val="000000"/>
          <w:sz w:val="20"/>
        </w:rPr>
        <w:t>, respectively, compared to $1.1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$2.9 million</w:t>
      </w:r>
      <w:r>
        <w:rPr>
          <w:color w:val="000000"/>
        </w:rPr>
        <w:t xml:space="preserve"> </w:t>
      </w:r>
      <w:r>
        <w:rPr>
          <w:rFonts w:ascii="Times New Roman;serif" w:hAnsi="Times New Roman;serif"/>
          <w:b w:val="false"/>
          <w:color w:val="000000"/>
          <w:sz w:val="20"/>
        </w:rPr>
        <w:t>during the same periods in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Depletion and Accretion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and accretion was $52.7 million ($18.06 per Boe) for the three months ended June 30, 2026, a decrease of 1% from $53.4 million ($18.59 per Boe) during the same period in 2025. Depletion and accretion expense was largely flat between periods, with a slight decrease driven by a shift in the relative cost basis weighting of the depletion pools.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and accretion was $107.6 million ($17.89 per Boe) for the six months ended June 30, 2026, an increase of 6% from $101.9 million ($18.50 per Boe) during the same period in 2025. The increase in depletion and accretion expense was primarily due to the increase in production.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of Unproved Properties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For the three and six months ended June 30, 2026, the Company recognized impairment expense of $9.1 million and</w:t>
      </w:r>
      <w:r>
        <w:rPr>
          <w:color w:val="000000"/>
        </w:rPr>
        <w:t xml:space="preserve"> </w:t>
      </w:r>
      <w:r>
        <w:rPr>
          <w:rFonts w:ascii="Times New Roman;serif" w:hAnsi="Times New Roman;serif"/>
          <w:b w:val="false"/>
          <w:color w:val="000000"/>
          <w:sz w:val="20"/>
        </w:rPr>
        <w:t>$20.3 million on unproved properties in the Permian Basin as a result of changes in operator development plans and reassessment of the economic viability of certain acreage in the Permian Basin resulting from unfavorable drilling results and further geologic and reservoir analysis of the acreage. No unproved property impairment was recorded for the three and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components of our general and administrative expenses for the three and six months ended June 30, 2026 and 2025:</w:t>
      </w:r>
    </w:p>
    <w:tbl>
      <w:tblPr>
        <w:tblW w:w="9019" w:type="dxa"/>
        <w:jc w:val="left"/>
        <w:tblInd w:w="0" w:type="dxa"/>
        <w:tblLayout w:type="fixed"/>
        <w:tblCellMar>
          <w:top w:w="28" w:type="dxa"/>
          <w:left w:w="28" w:type="dxa"/>
          <w:bottom w:w="28" w:type="dxa"/>
          <w:right w:w="28" w:type="dxa"/>
        </w:tblCellMar>
      </w:tblPr>
      <w:tblGrid>
        <w:gridCol w:w="1281"/>
        <w:gridCol w:w="1127"/>
        <w:gridCol w:w="1132"/>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 were $9.2 million ($3.14 per Boe) for the three months ended June 30, 2026, an increase of 7% from $8.5 million ($2.96 per Boe) during the same period in 2025. The increase was primarily for expenses related to increased legal fees, stock-based compensation, and service fees under the Management Services Agreement with Grey Rock Administration, LLC.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 were $18.2 million ($3.03 per Boe) for the six months ended June 30, 2026, an increase of 14% from $16.0 million ($2.90 per Boe) during the same period in 2025. The increase was primarily for expenses related to increased legal fees, stock-based compensation, and service fees under the Management Services Agreement with Grey Rock Administration, LLC.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gain (loss) on derivatives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84"/>
        <w:gridCol w:w="1551"/>
        <w:gridCol w:w="1545"/>
        <w:gridCol w:w="211"/>
        <w:gridCol w:w="787"/>
        <w:gridCol w:w="109"/>
        <w:gridCol w:w="109"/>
        <w:gridCol w:w="109"/>
        <w:gridCol w:w="109"/>
        <w:gridCol w:w="211"/>
        <w:gridCol w:w="721"/>
        <w:gridCol w:w="109"/>
        <w:gridCol w:w="109"/>
        <w:gridCol w:w="109"/>
        <w:gridCol w:w="109"/>
        <w:gridCol w:w="211"/>
        <w:gridCol w:w="787"/>
        <w:gridCol w:w="109"/>
        <w:gridCol w:w="109"/>
        <w:gridCol w:w="109"/>
        <w:gridCol w:w="109"/>
        <w:gridCol w:w="211"/>
        <w:gridCol w:w="721"/>
        <w:gridCol w:w="157"/>
      </w:tblGrid>
      <w:tr>
        <w:trPr/>
        <w:tc>
          <w:tcPr>
            <w:tcW w:w="178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from (payments on) commodity derivatives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cash receipts from (payments on) commodity derivatives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Power capacity contract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unrealized gain (loss) on commodity derivatives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derivatives - commodity derivatives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Interest expense was $11.1 million for the three months ended June 30, 2026 compared to $5.9 million for the three months ended June 30, 2025. The increase in interest expense during the three months ended June 30, 2026 as compared to 2025 was primarily due to the issuance of $350.0 million aggregate principal amount of 8.875% senior unsecured notes in November 2025 that was outstanding during the entirety of the three months ended </w:t>
      </w:r>
      <w:r>
        <w:rPr>
          <w:rFonts w:ascii="Times New Roman;serif" w:hAnsi="Times New Roman;serif"/>
          <w:b w:val="false"/>
          <w:color w:val="000000"/>
          <w:sz w:val="20"/>
          <w:shd w:fill="FFFFFF" w:val="clear"/>
        </w:rPr>
        <w:t>June 30, 2026.</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Interest expense was $21.4 million for the six months ended June 30, 2026 compared to $10.9 million for the six months ended June 30, 2025. The increase in interest expense during the six months ended June 30, 2026 as compared to 2025 was primarily due to the issuance of $350.0 million aggregate principal amount of 8.875% senior unsecured notes in November 2025 that was outstanding during the entirety of the six months ended </w:t>
      </w:r>
      <w:r>
        <w:rPr>
          <w:rFonts w:ascii="Times New Roman;serif" w:hAnsi="Times New Roman;serif"/>
          <w:b w:val="false"/>
          <w:color w:val="000000"/>
          <w:sz w:val="20"/>
          <w:shd w:fill="FFFFFF" w:val="clear"/>
        </w:rPr>
        <w:t>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Gain/(Loss) on Equity Investments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recorded a loss on equity investments of $2.2 million for the three months ended June 30, 2026 as a result of a $2.2 million realized loss on sale of common stock. We recorded a loss of $5.8 million for the three months ended June 30, 2025 as a result of a $10.5 million realized loss on sale of common stock and an unrealized gain of $4.7 million from the change in fair value of the common stock held.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recorded a gain on equity investments of $4.5 million for the six months ended June 30, 2026. The gain is a result of an unrealized gain of $6.7 million from the change in fair value of the common stock held during the first quarter of 2026 offset by a $2.2 million realized loss on sale of common stock during the second quarter of 2026. We recorded a loss of $15.8 million for the six months ended June 30, 2025. The loss is a result of a $10.5 million realized loss on sale of common stock and an unrealized loss of $5.2 million from the change in fair value of common stock held.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We recorded income tax expense</w:t>
      </w:r>
      <w:r>
        <w:rPr>
          <w:color w:val="000000"/>
        </w:rPr>
        <w:t xml:space="preserve"> </w:t>
      </w:r>
      <w:r>
        <w:rPr>
          <w:rFonts w:ascii="Times New Roman;serif" w:hAnsi="Times New Roman;serif"/>
          <w:b w:val="false"/>
          <w:color w:val="000000"/>
          <w:sz w:val="20"/>
        </w:rPr>
        <w:t xml:space="preserve">of $8.9 million and income tax benefit of </w:t>
      </w:r>
      <w:r>
        <w:rPr>
          <w:rFonts w:ascii="Times New Roman;serif" w:hAnsi="Times New Roman;serif"/>
          <w:b w:val="false"/>
          <w:color w:val="000000"/>
          <w:sz w:val="20"/>
          <w:shd w:fill="FFFFFF" w:val="clear"/>
        </w:rPr>
        <w:t>$4.8 million for the three and six months ended June 30, 2026 compared to $7.8 million and $10.7 million for the three and six months ended June 30, 2025</w:t>
      </w:r>
      <w:r>
        <w:rPr>
          <w:rFonts w:ascii="Arial;sans-serif" w:hAnsi="Arial;sans-serif"/>
          <w:b w:val="false"/>
          <w:color w:val="000000"/>
          <w:sz w:val="24"/>
        </w:rPr>
        <w:t xml:space="preserve">. </w:t>
      </w:r>
      <w:r>
        <w:rPr>
          <w:rFonts w:ascii="Times New Roman;serif" w:hAnsi="Times New Roman;serif"/>
          <w:b w:val="false"/>
          <w:color w:val="000000"/>
          <w:sz w:val="20"/>
        </w:rPr>
        <w:t xml:space="preserve">The effective income tax rate differs from the statutory rate primarily due to the impact of certain discrete items and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main sources of liquidity and capital resources as of the periods covered by this Report have been internally generated cash flow from operations, credit facility borrowings, and the issuance of senior notes.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$350.0 million of principal debt outstanding on 8.875% senior unsecured notes and $125.0 million of debt outstanding under our senior secured revolving credit agreement. We had $293.8 million of liquidity as of June 30, 2026, consisting of $249.7 million of committed borrowing availability under the Credit Agreement and $44.1 million of cash on hand.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our cash on hand, cash flow from operations, senior unsecured notes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Capital Commitments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Dividends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paid dividends of $14.5 million, or $0.11 per share, and $29.0 million, or $0.22 per share during the three and six months ended June 30, 2026, respectively. For the three and six months ended June 30, 2025, the Company paid dividends of $14.4 million, or $0.11 per share, and $28.8 million, or $0.22 per share,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payment of future dividends will be at the discretion of the Company’s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changes in cash for the six months ended June 30, 2026 and 2025:</w:t>
      </w:r>
    </w:p>
    <w:tbl>
      <w:tblPr>
        <w:tblW w:w="6129" w:type="dxa"/>
        <w:jc w:val="left"/>
        <w:tblInd w:w="0" w:type="dxa"/>
        <w:tblLayout w:type="fixed"/>
        <w:tblCellMar>
          <w:top w:w="28" w:type="dxa"/>
          <w:left w:w="28" w:type="dxa"/>
          <w:bottom w:w="28" w:type="dxa"/>
          <w:right w:w="28" w:type="dxa"/>
        </w:tblCellMar>
      </w:tblPr>
      <w:tblGrid>
        <w:gridCol w:w="1255"/>
        <w:gridCol w:w="1103"/>
        <w:gridCol w:w="1107"/>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$40.2 million decrease in operating cash flows during the six months ended June 30, 2026 as compared to the same period in 2025 was primarily due to realized loss on derivatives of $34.6 million and increase in lease operating expenses of $23.3 million, partially offset by an increase in oil and natural gas sales of $45.4 million during the six months ended June 30, 2026 as compared to the same period in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included a reduction of $17.3 million and a reduction of $2.0 million for the six months ended June 30, 2026 and 2025, respectively, associated with changes in working capital items. Changes in working capital items adjust for the timing of receipts and payments of actual cash.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net cash used in investing activities was $130.7 million, which consisted primarily of $122.6 million of capital expenditures for development of oil and natural gas properties and $26.2 million of acquisitions of oil and natural gas properties, partially offset by $15.4 million of proceeds from sale of equity investments.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our net cash used in investing activities was $200.5 million, which consisted primarily of $164.5 million of capital expenditures for development of oil and natural gas properties and $44.9 million of acquisitions of oil and natural gas properties, partially offset by $5.0 million of proceeds from sale of equity investments.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our net cash provided by financing activities was $46.0 million, primarily due to $75.0 million of net borrowings under our Credit Agreement, partially offset by $29.0 million of dividends paid on our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our net cash provided by financing activities was $40.7 million, primarily due to $70.0 million of net borrowings under our Credit Agreement, partially offset by $28.8 million of dividends paid on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Granite Ridge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outstanding borrowings of $125.0 million and $0.3 million of letters of credit issued and outstanding under the Credit Agreement, resulting in availability of $249.7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Granite Ridge entered into a senior secured revolving credit agreement (as amended, the “Credit Agreement”) with a syndicate of banks, currently led by Bank of America, N.A., as administrative agent. The Credit Agreement has a maturity date of the earliest to occur of (A) November 5, 2029 or (B) the date that is ninety-one days prior to the stated maturity date of the unsecured senior notes issued in November 2025 if any such notes remain outstanding on such date.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275 to 375 basis points, depending on the percentage of the borrowing base utilized. Base rate loans bear interest at a rate per annum equal to the greatest of: (i) the U.S. prime rate as publicly announced from time to time by Bank of America, N.A.; (ii) the federal funds effective rate plus 50 basis points; (iii) the adjusted SOFR rate for a one-month interest period plus 100 basis points; and (iv) 100 basis points plus, in the case of any base rate loan, an applicable margin ranging from 175 to 275 basis points, depending on the percentage of the borrowing base utilized.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(ii)a Current Ratio (as defined in the Credit Agreement), of not less than 1.00 to 1.00 as of the last day of each fiscal quarter,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(iii)an Asset Coverage Ratio (as defined in the Credit Agreement), commencing with the fiscal quarter ended June 30, 2026, of not less than (a) for each such fiscal quarter ending prior to December 31, 2026, 1.25 to 1.00 and (b) for each such fiscal quarter ending on or after December 31, 2026, 1.50 to 1.00.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and its lenders entered into the Seventh Amendment to Credit Agreement, which amended the Credit Agreement to increase the pro forma net leverage ratio requirement for purposes of the restricted payment and debt redemption covenants to 1.75 to 1.00 (from 1.50 to 1.00) for the period between August 3, 2026 and January 1,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covenants required by the Credit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2029 Senior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as issuer, completed an issuance of $350.0 million aggregate principal amount of 8.875% senior unsecured notes at 96.0% of par with stated maturity on November 5, 2029 pursuant to the Note Purchase Agreement. The Company used the net proceeds from issuance of the 2029 Senior Notes to repay certain amounts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is due at the end of each quarter.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As of June 30, 2026, the Company had $35.0 million included in current liabilities in the condensed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2029 Senior Notes include certain covenants, which, among other things, requires the maintenance of (i) a net leverage ratio not greater than 3.25 to 1.00 and (ii) an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Under the 2029 Senior Notes, the Company must maintain a minimum hedging requirement included within the Senior Notes for oil and natural gas based on our proved developed producing projected volumes for each commodity on a rolling 18-month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financial covenants required by the Note Purchase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Known Contractual and Other Obligations; Planned Capital Expenditures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Contractual and Other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include long-term debt, cash interest expense on debt, derivative liabilities, asset retirement obligations, joint development agreements, and an annual service fee to the Manager. Since December 31, 2025, there have been no material changes in our contractual obligations, other than (i) the $75.0 million increase in long-term debt due to borrowings under the Credit Agreement and (ii) increase in contractually obligated fees under our joint development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joint development agreements that outline the terms for the joint evaluation, acquisition, exploration, development, and production of hydrocarbons from jointly owned interests subject to such agreements. These agreements designate a third party as the operator of all jointly owned interests in the applicable development area, while Granite Ridge retains the right to manage and control acquisition costs and strategy, development costs, timing and rig schedules, well design and other development operations in exchange for a fee. The aggregate minimum financial commitment amount over the noncancellable term of these joint development agreements is $12.4 million, which is due over the next two years.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Planned Capital Expenditures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2026, we are budgeting approximately $345 million to $385 million in total planned capital expenditures, including approximately $45 million to $55 million of acquisitions of oil and natural gas properties. Our costs incurred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oil and natural gas properties, excluding acquisitions, during the three months ended June 30, 2026 and 2025 totaled $78.5 million and $77.2 million, respectively, and $136.8 million and $148.6 million during the six months ended June 30, 2026 and 2025, respectively. Our capital expenditures for the six months ended June 30, 2026 were primarily funded with cash flows from operations and borrowings under the Credit Agreement.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expenditures for acquisitions of proved and unproved properties for the three and six months ended June 30, 2026 and 2025:</w:t>
      </w:r>
    </w:p>
    <w:tbl>
      <w:tblPr>
        <w:tblW w:w="8729" w:type="dxa"/>
        <w:jc w:val="left"/>
        <w:tblInd w:w="0" w:type="dxa"/>
        <w:tblLayout w:type="fixed"/>
        <w:tblCellMar>
          <w:top w:w="28" w:type="dxa"/>
          <w:left w:w="28" w:type="dxa"/>
          <w:bottom w:w="28" w:type="dxa"/>
          <w:right w:w="28" w:type="dxa"/>
        </w:tblCellMar>
      </w:tblPr>
      <w:tblGrid>
        <w:gridCol w:w="977"/>
        <w:gridCol w:w="860"/>
        <w:gridCol w:w="862"/>
        <w:gridCol w:w="403"/>
        <w:gridCol w:w="406"/>
        <w:gridCol w:w="270"/>
        <w:gridCol w:w="208"/>
        <w:gridCol w:w="208"/>
        <w:gridCol w:w="208"/>
        <w:gridCol w:w="403"/>
        <w:gridCol w:w="406"/>
        <w:gridCol w:w="270"/>
        <w:gridCol w:w="109"/>
        <w:gridCol w:w="109"/>
        <w:gridCol w:w="109"/>
        <w:gridCol w:w="368"/>
        <w:gridCol w:w="337"/>
        <w:gridCol w:w="339"/>
        <w:gridCol w:w="190"/>
        <w:gridCol w:w="190"/>
        <w:gridCol w:w="190"/>
        <w:gridCol w:w="368"/>
        <w:gridCol w:w="338"/>
        <w:gridCol w:w="338"/>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acquisition costs: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16,682</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26,234</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acquisition costs</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16,684</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26,825</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Effects of Inflation and Pricing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results of operations and cash flows of the Company.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management’s opinion, the more significant reporting areas impacted by management’s judgments and estimates are the choice of accounting method for oil and natural gas activities, oil and natural gas reserve estimation, revenue recognition, impairment of long-lived assets and valuation of financial derivatives.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procedures during the six months ended June 30, 2026. See our disclosure of critical accounting policies in “Item 7. Management’s Discussion and Analysis of Financial Condition and Results of Operations” and “Item 8. Financial Statements and Supplementary Data”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discussion of recent accounting pronouncements, see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six months ended June 30, 2026, a 10% increase in average commodity prices would have decreased the fair value of our collar option and swap commodity derivatives by $22.8 million.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our exposure to interest rate changes related primarily to the borrowings under the Credit Agreement as the 2029 Senior Notes bear a fixed interest rate. The interest we pay on these borrowings is set periodically based upon market rates. We had total indebtedness of $125.0 million outstanding under our Credit Agreement at June 30, 2026. The impact of a 100 basis point increase in interest rates on this amount of debt would result in increased annual interest expense of approximately $1.3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2026, our disclosure controls and procedures were effective at a level of reasonable assurance.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of the Exchange Act) during the second quarter of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was not a party to any material legal proceedings during the three months ended June 30, 2026.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described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Company and its lenders entered into the Seventh Amendment to Credit Agreement, which amended the Credit Agreement to increase the pro forma net leverage ratio requirement for purposes of the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 and debt redemption covenants to 1.75 to 1.00 (from 1.50 to 1.00) for the period between August 3, 2026 and January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2"/>
        <w:gridCol w:w="283"/>
        <w:gridCol w:w="284"/>
        <w:gridCol w:w="109"/>
        <w:gridCol w:w="109"/>
        <w:gridCol w:w="109"/>
        <w:gridCol w:w="2710"/>
        <w:gridCol w:w="2589"/>
        <w:gridCol w:w="3690"/>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Plan of Conversion (incorporated by reference to Exhibit 2.1 to the Company’s Current Report on Form 8-K12B filed with the SEC on August </w:t>
              </w:r>
            </w:hyperlink>
            <w:hyperlink r:id="rId3">
              <w:r>
                <w:rPr>
                  <w:rStyle w:val="InternetLink"/>
                  <w:rFonts w:ascii="Times New Roman;serif" w:hAnsi="Times New Roman;serif"/>
                  <w:b w:val="false"/>
                  <w:color w:val="000080"/>
                  <w:sz w:val="20"/>
                  <w:u w:val="single"/>
                </w:rPr>
                <w:t>6</w:t>
              </w:r>
            </w:hyperlink>
            <w:hyperlink r:id="rId4">
              <w:r>
                <w:rPr>
                  <w:rStyle w:val="InternetLink"/>
                  <w:rFonts w:ascii="Times New Roman;serif" w:hAnsi="Times New Roman;serif"/>
                  <w:b w:val="false"/>
                  <w:color w:val="000080"/>
                  <w:sz w:val="20"/>
                  <w:u w:val="single"/>
                </w:rPr>
                <w:t>, 2026).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erif" w:hAnsi="Times New Roman;serif"/>
                  <w:b w:val="false"/>
                  <w:color w:val="000080"/>
                  <w:sz w:val="20"/>
                  <w:u w:val="single"/>
                </w:rPr>
                <w:t xml:space="preserve">Certificate of </w:t>
              </w:r>
            </w:hyperlink>
            <w:hyperlink r:id="rId6">
              <w:r>
                <w:rPr>
                  <w:rStyle w:val="InternetLink"/>
                  <w:rFonts w:ascii="Times New Roman;serif" w:hAnsi="Times New Roman;serif"/>
                  <w:b w:val="false"/>
                  <w:color w:val="000080"/>
                  <w:sz w:val="20"/>
                  <w:u w:val="single"/>
                </w:rPr>
                <w:t>Formation</w:t>
              </w:r>
            </w:hyperlink>
            <w:hyperlink r:id="rId7">
              <w:r>
                <w:rPr>
                  <w:rStyle w:val="InternetLink"/>
                  <w:rFonts w:ascii="Times New Roman;serif" w:hAnsi="Times New Roman;serif"/>
                  <w:b w:val="false"/>
                  <w:color w:val="000080"/>
                  <w:sz w:val="20"/>
                  <w:u w:val="single"/>
                </w:rPr>
                <w:t xml:space="preserve"> of Granite Ridge Resources, Inc. (incorporated by reference to Exhibit 3.1 to the Company’s Current Report on Form 8-K</w:t>
              </w:r>
            </w:hyperlink>
            <w:hyperlink r:id="rId8">
              <w:r>
                <w:rPr>
                  <w:rStyle w:val="InternetLink"/>
                  <w:rFonts w:ascii="Times New Roman;serif" w:hAnsi="Times New Roman;serif"/>
                  <w:b w:val="false"/>
                  <w:color w:val="000080"/>
                  <w:sz w:val="20"/>
                  <w:u w:val="single"/>
                </w:rPr>
                <w:t>12B</w:t>
              </w:r>
            </w:hyperlink>
            <w:hyperlink r:id="rId9">
              <w:r>
                <w:rPr>
                  <w:rStyle w:val="InternetLink"/>
                  <w:rFonts w:ascii="Times New Roman;serif" w:hAnsi="Times New Roman;serif"/>
                  <w:b w:val="false"/>
                  <w:color w:val="000080"/>
                  <w:sz w:val="20"/>
                  <w:u w:val="single"/>
                </w:rPr>
                <w:t xml:space="preserve"> filed with the SEC on </w:t>
              </w:r>
            </w:hyperlink>
            <w:hyperlink r:id="rId10">
              <w:r>
                <w:rPr>
                  <w:rStyle w:val="InternetLink"/>
                  <w:rFonts w:ascii="Times New Roman;serif" w:hAnsi="Times New Roman;serif"/>
                  <w:b w:val="false"/>
                  <w:color w:val="000080"/>
                  <w:sz w:val="20"/>
                  <w:u w:val="single"/>
                </w:rPr>
                <w:t xml:space="preserve">August </w:t>
              </w:r>
            </w:hyperlink>
            <w:hyperlink r:id="rId11">
              <w:r>
                <w:rPr>
                  <w:rStyle w:val="InternetLink"/>
                  <w:rFonts w:ascii="Times New Roman;serif" w:hAnsi="Times New Roman;serif"/>
                  <w:b w:val="false"/>
                  <w:color w:val="000080"/>
                  <w:sz w:val="20"/>
                  <w:u w:val="single"/>
                </w:rPr>
                <w:t>6</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6</w:t>
              </w:r>
            </w:hyperlink>
            <w:hyperlink r:id="rId14">
              <w:r>
                <w:rPr>
                  <w:rStyle w:val="InternetLink"/>
                  <w:rFonts w:ascii="Times New Roman;serif" w:hAnsi="Times New Roman;serif"/>
                  <w:b w:val="false"/>
                  <w:color w:val="000080"/>
                  <w:sz w:val="20"/>
                  <w:u w:val="single"/>
                </w:rPr>
                <w:t>).</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15">
              <w:r>
                <w:rPr>
                  <w:rStyle w:val="InternetLink"/>
                  <w:rFonts w:ascii="Times New Roman;serif" w:hAnsi="Times New Roman;serif"/>
                  <w:b w:val="false"/>
                  <w:color w:val="0000EE"/>
                  <w:sz w:val="20"/>
                  <w:u w:val="single"/>
                </w:rPr>
                <w:t>Amended and Restated By Laws of Granite Ridge Resources, Inc. (incorporated by reference to Exhibit 3.2 to the Company’s Current Report on Form 8-K12B filed with the SEC on August 6, 2026).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60630xxexx101sev.htm">
              <w:r>
                <w:rPr>
                  <w:rStyle w:val="InternetLink"/>
                  <w:rFonts w:ascii="Times New Roman;serif" w:hAnsi="Times New Roman;serif"/>
                  <w:b w:val="false"/>
                  <w:color w:val="000080"/>
                  <w:sz w:val="20"/>
                  <w:u w:val="single"/>
                </w:rPr>
                <w:t>S</w:t>
              </w:r>
            </w:hyperlink>
            <w:hyperlink w:anchor="grnt-20260630xxexx101sev.htm">
              <w:r>
                <w:rPr>
                  <w:rStyle w:val="InternetLink"/>
                  <w:rFonts w:ascii="Times New Roman;serif" w:hAnsi="Times New Roman;serif"/>
                  <w:b w:val="false"/>
                  <w:color w:val="000080"/>
                  <w:sz w:val="20"/>
                  <w:u w:val="single"/>
                </w:rPr>
                <w:t>eventh</w:t>
              </w:r>
            </w:hyperlink>
            <w:hyperlink w:anchor="grnt-20260630xxexx101sev.htm">
              <w:r>
                <w:rPr>
                  <w:rStyle w:val="InternetLink"/>
                  <w:rFonts w:ascii="Times New Roman;serif" w:hAnsi="Times New Roman;serif"/>
                  <w:b w:val="false"/>
                  <w:color w:val="000080"/>
                  <w:sz w:val="20"/>
                  <w:u w:val="single"/>
                </w:rPr>
                <w:t xml:space="preserve"> Amendment to Credit Agreement, dated as of </w:t>
              </w:r>
            </w:hyperlink>
            <w:hyperlink w:anchor="grnt-20260630xxexx101sev.htm">
              <w:r>
                <w:rPr>
                  <w:rStyle w:val="InternetLink"/>
                  <w:rFonts w:ascii="Times New Roman;serif" w:hAnsi="Times New Roman;serif"/>
                  <w:b w:val="false"/>
                  <w:color w:val="000080"/>
                  <w:sz w:val="20"/>
                  <w:u w:val="single"/>
                </w:rPr>
                <w:t>August</w:t>
              </w:r>
            </w:hyperlink>
            <w:hyperlink w:anchor="grnt-20260630xxexx101sev.htm">
              <w:r>
                <w:rPr>
                  <w:rStyle w:val="InternetLink"/>
                  <w:rFonts w:ascii="Times New Roman;serif" w:hAnsi="Times New Roman;serif"/>
                  <w:b w:val="false"/>
                  <w:color w:val="000080"/>
                  <w:sz w:val="20"/>
                  <w:u w:val="single"/>
                </w:rPr>
                <w:t xml:space="preserve"> </w:t>
              </w:r>
            </w:hyperlink>
            <w:hyperlink w:anchor="grnt-20260630xxexx101sev.htm">
              <w:r>
                <w:rPr>
                  <w:rStyle w:val="InternetLink"/>
                  <w:rFonts w:ascii="Times New Roman;serif" w:hAnsi="Times New Roman;serif"/>
                  <w:b w:val="false"/>
                  <w:color w:val="000080"/>
                  <w:sz w:val="20"/>
                  <w:u w:val="single"/>
                </w:rPr>
                <w:t>3</w:t>
              </w:r>
            </w:hyperlink>
            <w:hyperlink w:anchor="grnt-20260630xxexx101sev.htm">
              <w:r>
                <w:rPr>
                  <w:rStyle w:val="InternetLink"/>
                  <w:rFonts w:ascii="Times New Roman;serif" w:hAnsi="Times New Roman;serif"/>
                  <w:b w:val="false"/>
                  <w:color w:val="000080"/>
                  <w:sz w:val="20"/>
                  <w:u w:val="single"/>
                </w:rPr>
                <w:t>, 202</w:t>
              </w:r>
            </w:hyperlink>
            <w:hyperlink w:anchor="grnt-20260630xxexx101sev.htm">
              <w:r>
                <w:rPr>
                  <w:rStyle w:val="InternetLink"/>
                  <w:rFonts w:ascii="Times New Roman;serif" w:hAnsi="Times New Roman;serif"/>
                  <w:b w:val="false"/>
                  <w:color w:val="000080"/>
                  <w:sz w:val="20"/>
                  <w:u w:val="single"/>
                </w:rPr>
                <w:t>6</w:t>
              </w:r>
            </w:hyperlink>
            <w:hyperlink w:anchor="grnt-20260630xxexx101sev.htm">
              <w:r>
                <w:rPr>
                  <w:rStyle w:val="InternetLink"/>
                  <w:rFonts w:ascii="Times New Roman;serif" w:hAnsi="Times New Roman;serif"/>
                  <w:b w:val="false"/>
                  <w:color w:val="000080"/>
                  <w:sz w:val="20"/>
                  <w:u w:val="single"/>
                </w:rPr>
                <w:t>, by and among Granite Ridge Resources, Inc., as borrower, the guarantors party thereto, Bank of America, N.A., as administrative agent, and the lenders party thereto.</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20"/>
                  <w:u w:val="single"/>
                </w:rPr>
                <w:t>Amended and Restated Granite Ridge Resources, Inc. 2022 Omnibus Incentive Plan (incorporated by reference to Exhibit 10.1 to the Company’s Current Report on Form 8-K filed with the SEC on May 22, 2026).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80"/>
                  <w:sz w:val="20"/>
                  <w:u w:val="single"/>
                </w:rPr>
                <w:t xml:space="preserve">Form of Indemnification Agreement for directors affiliated with the Grey Rock funds (incorporated by reference to Exhibit 10.1 to the Company’s Current Report on Form 8-K12B filed with the SEC on August </w:t>
              </w:r>
            </w:hyperlink>
            <w:hyperlink r:id="rId18">
              <w:r>
                <w:rPr>
                  <w:rStyle w:val="InternetLink"/>
                  <w:rFonts w:ascii="Times New Roman;serif" w:hAnsi="Times New Roman;serif"/>
                  <w:b w:val="false"/>
                  <w:color w:val="000080"/>
                  <w:sz w:val="20"/>
                  <w:u w:val="single"/>
                </w:rPr>
                <w:t>6</w:t>
              </w:r>
            </w:hyperlink>
            <w:hyperlink r:id="rId19">
              <w:r>
                <w:rPr>
                  <w:rStyle w:val="InternetLink"/>
                  <w:rFonts w:ascii="Times New Roman;serif" w:hAnsi="Times New Roman;serif"/>
                  <w:b w:val="false"/>
                  <w:color w:val="000080"/>
                  <w:sz w:val="20"/>
                  <w:u w:val="single"/>
                </w:rPr>
                <w:t>, 2026).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80"/>
                  <w:sz w:val="20"/>
                  <w:u w:val="single"/>
                </w:rPr>
                <w:t xml:space="preserve">Form of Indemnification Agreement for officers and outside directors (incorporated by reference to Exhibit 10.2 to the Company’s Current Report on Form 8-K12B filed with the SEC on August </w:t>
              </w:r>
            </w:hyperlink>
            <w:hyperlink r:id="rId21">
              <w:r>
                <w:rPr>
                  <w:rStyle w:val="InternetLink"/>
                  <w:rFonts w:ascii="Times New Roman;serif" w:hAnsi="Times New Roman;serif"/>
                  <w:b w:val="false"/>
                  <w:color w:val="000080"/>
                  <w:sz w:val="20"/>
                  <w:u w:val="single"/>
                </w:rPr>
                <w:t>6</w:t>
              </w:r>
            </w:hyperlink>
            <w:hyperlink r:id="rId22">
              <w:r>
                <w:rPr>
                  <w:rStyle w:val="InternetLink"/>
                  <w:rFonts w:ascii="Times New Roman;serif" w:hAnsi="Times New Roman;serif"/>
                  <w:b w:val="false"/>
                  <w:color w:val="000080"/>
                  <w:sz w:val="20"/>
                  <w:u w:val="single"/>
                </w:rPr>
                <w:t>, 2026.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60630x10qxexx311.htm">
              <w:r>
                <w:rPr>
                  <w:rStyle w:val="InternetLink"/>
                  <w:rFonts w:ascii="Times New Roman;serif" w:hAnsi="Times New Roman;serif"/>
                  <w:b w:val="false"/>
                  <w:color w:val="0000FF"/>
                  <w:sz w:val="20"/>
                  <w:u w:val="single"/>
                </w:rPr>
                <w:t>Certification of the Company’s Chief Executive Officer Pursuant to Section 302 of the Sarbanes Oxley Act of 2002.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60630x10qxexx312.htm">
              <w:r>
                <w:rPr>
                  <w:rStyle w:val="InternetLink"/>
                  <w:rFonts w:ascii="Times New Roman;serif" w:hAnsi="Times New Roman;serif"/>
                  <w:b w:val="false"/>
                  <w:color w:val="0000FF"/>
                  <w:sz w:val="20"/>
                  <w:u w:val="single"/>
                </w:rPr>
                <w:t>Certification of the Company’s Chief Financial Officer Pursuant to Section 302 of the Sarbanes Oxley Act of 2002.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60630x10qxexx321.htm">
              <w:r>
                <w:rPr>
                  <w:rStyle w:val="InternetLink"/>
                  <w:rFonts w:ascii="Times New Roman;serif" w:hAnsi="Times New Roman;serif"/>
                  <w:b w:val="false"/>
                  <w:color w:val="0000EE"/>
                  <w:sz w:val="20"/>
                  <w:u w:val="single"/>
                </w:rPr>
                <w:t>Certification of the Company’s Chief Executive Officer and Chief Financial Officer Pursuant to Section 906 of the Sarbanes Oxley Act of 2002.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management plan or compensatory arrangement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47" w:type="dxa"/>
        <w:jc w:val="left"/>
        <w:tblInd w:w="0" w:type="dxa"/>
        <w:tblLayout w:type="fixed"/>
        <w:tblCellMar>
          <w:top w:w="28" w:type="dxa"/>
          <w:left w:w="28" w:type="dxa"/>
          <w:bottom w:w="28" w:type="dxa"/>
          <w:right w:w="28" w:type="dxa"/>
        </w:tblCellMar>
      </w:tblPr>
      <w:tblGrid>
        <w:gridCol w:w="494"/>
        <w:gridCol w:w="434"/>
        <w:gridCol w:w="436"/>
        <w:gridCol w:w="363"/>
        <w:gridCol w:w="363"/>
        <w:gridCol w:w="363"/>
        <w:gridCol w:w="418"/>
        <w:gridCol w:w="418"/>
        <w:gridCol w:w="418"/>
        <w:gridCol w:w="948"/>
        <w:gridCol w:w="948"/>
        <w:gridCol w:w="134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GRANITE RIDGE RESOURCES, INC.</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KYLE KETTLER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 Kyle Kettler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A. WEIMER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A. Weimer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spacing w:before="0" w:after="0"/>
        <w:jc w:val="center"/>
        <w:rPr/>
      </w:pPr>
      <w:bookmarkStart w:id="0" w:name="grnt-20260630xxexx101sev.htm"/>
      <w:bookmarkStart w:id="1" w:name="ksgrnt20260630xxexx101sev"/>
      <w:bookmarkEnd w:id="0"/>
      <w:bookmarkEnd w:id="1"/>
      <w:r>
        <w:rPr/>
        <w:drawing>
          <wp:inline distT="0" distB="0" distL="0" distR="0">
            <wp:extent cx="10048875" cy="1300162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jc w:val="center"/>
        <w:rPr>
          <w:color w:val="FFFFFF"/>
          <w:sz w:val="2"/>
        </w:rPr>
      </w:pPr>
      <w:r>
        <w:rPr>
          <w:color w:val="FFFFFF"/>
          <w:sz w:val="2"/>
        </w:rPr>
        <w:t xml:space="preserve">Seventh Amendment to Credit Agreement This Seventh Amendment to Credit Agreement (this “Seventh Amendment”), dated as of August 3, 2026 (the “Seventh Amendment Effective Date”), is among Granite Ridge Resources, Inc., a Delaware corporation (the “Borrower”); each of the undersigned Restricted Subsidiaries of the Borrower (the “Guarantors”; the Guarantors together with the Borrower, the “Loan Parties”); each of the Lenders that is a signatory hereto; and Bank of America, N.A., as administrative agent for the Lenders (in such capacity, together with its successors in such capacity, the “Administrative Agent”). Recitals A. The Borrower, the Administrative Agent, the Lenders and the L/C Issuer are parties to that certain Credit Agreement dated as of October 24, 2022 (as amended, restated, supplemented or otherwise modified prior to the date hereof, the “Credit Agreement”), pursuant to which the Lenders have, subject to the terms and conditions set forth therein, made certain credit available to and on behalf of the Borrower. B. The parties hereto desire to enter into this Seventh Amendment to amend certain terms of the Credit Agreement as set forth herein and to be effective as of the Seventh Amendment Effective Date. NOW, THEREFORE, in consideration of the premises and the mutual covenants herein contained, for good and valuable consideration, the receipt and sufficiency of which are hereby acknowledged, the parties hereto agree as follows: Section 1. Defined Terms. Each capitalized term which is defined in the Credit Agreement, but which is not defined in this Seventh Amendment, shall have the meaning ascribed such term in the Credit Agreement, as amended hereby. Unless otherwise indicated, all section references in this Seventh Amendment refer to the Credit Agreement. Section 2. Amendments. In reliance on the representations, warranties, covenants and agreements contained in this Seventh Amendment, and subject to the satisfaction of the conditions precedent set forth in Section 3 hereof, the Credit Agreement shall be amended, effective as of the Seventh Amendment Effective Date, in the manner provided in this Section 2. 2.1 Additional Definitions. Section 1.1 of the Credit Agreement is hereby amended to add thereto in alphabetical order the following definitions which shall read in full as follows: Section 3. “Seventh Amendment” means that certain Seventh Amendment to Credit Agreement dated as of the Seventh Amendment Effective Exhibit 10.1 Execution Version 4933-4507-0532v.1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among the Borrower, the other Loan Parties party thereto, the Administrative Agent and the Lenders party thereto. Section 4. “Seventh Amendment Effective Date” means August 3, 2026. 4.1 Restated Definition. The following definition contained in Section 1.1 of the Credit Agreement is hereby amended and restated in its entirety to read in full as follows: 4.2 “Loan Documents” means this Agreement, the First Amendment, the Second Amendment, the Third Amendment, the Fourth Amendment, the Fifth Amendment, the Sixth Amendment, the Seventh Amendment, the Guaranty, the Security Documents, the Notes, the Issuer Documents, each Fee Letter and all other promissory notes, security agreements, intercreditor agreements, mortgages, deeds of trust, assignments, letters of credit, guaranties, and other instruments, documents, certificates and agreements executed and delivered pursuant to or in connection with this Agreement or the Security Documents; provided that the term “Loan Documents” shall not include any Secured Cash Management Agreement or any Secured Hedge Agreement; provided, further, that no Approved Swap Counterparty (in its capacity as such) shall be deemed to be a party to or have any rights under any Loan Documents to which it is a party. 4.3 Amendment to Section 8.4(a) of the Credit Agreement. Clause (v) of Section 8.4(a) of the Credit Agreement is hereby amended and restated in its entirety to read in full as follows: 4.4 (v) Borrower may make Restricted Payments in the form of cash distributions so long as (A) no Event of Default or Borrowing Base Deficiency exists or would result therefrom, (B) immediately after giving effect to such Restricted Payment (and any Borrowings made in connection therewith), the Consolidated Net Leverage Ratio on a pro forma basis is less than or equal to 1.50 to 1.00 (or 1.75 to 1.00 at any time of determination between the Seventh Amendment Effective Date and January 1, 2027), and (C) immediately after giving effect to such Restricted Payment (and any Borrowings made in connection therewith), Liquidity is not less than 20% of the Aggregate Commitments then in effect; and 4.5 2.4 Amendment to Section 8.4(b) of the Credit Agreement. Clause (iv) of Section 8.4(b) of the Credit Agreement is hereby amended and restated in its entirety to read in full as follows: 4.6 (iv) with cash on hand, so long as, in the case of this clause (iv), (A) no Event of Default or Borrowing Base Deficiency has occurred and is continuing both before and after giving effect to such Redemption, (B) immediately after giving effect to such Redemption (and any Borrowings made in connection therewith), the Consolidated Net Leverage Ratio on a pro forma basis is less than or equal to 1.50 to 1.00 (or 1.75 to 1.00 at any time of determination Page 2 4933-4507-0532v.1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between the Seventh Amendment Effective Date and January 1, 2027), and (C) immediately after giving effect to such Redemption (and any Borrowings made in connection therewith), Liquidity is not less than 20% of the Aggregate Commitments then in effect; and Section 5. Conditions Precedent. The effectiveness of this Seventh Amendment is subject to the following: 5.1 Counterparts. The Administrative Agent shall have received counterparts of this Seventh Amendment from the Loan Parties and each of the Lenders constituting the Majority Lenders. 5.2 Fees. The Administrative Agent shall have received all fees and other amounts due and payable on or prior to the Seventh Amendment Effective Date. 5.3 Other Documents. The Administrative Agent shall have received such other documents as the Administrative Agent or counsel to the Administrative Agent may reasonably request. Section 6. Miscellaneous. 6.1 Confirmation and Effect. The provisions of the Credit Agreement (as amended by this Seventh Amendment) shall remain in full force and effect in accordance with their terms following the effectiveness of this Seventh Amendment, and the execution, delivery and effectiveness of this Seventh Amendment shall not (a) operate as a waiver of any right, power or remedy of any Lender, the L/C Issuer or the Administrative Agent under any of the Loan Documents nor (b) constitute a waiver of any provision of the Credit Agreement or any other Loan Document except, in each case, as expressly provided herein.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 6.2 Ratification and Affirmation of Loan Parties. Each of the Loan Parties hereby expressly (a) acknowledges the terms of this Seventh Amendment, (b) ratifies and affirms its obligations under the Loan Documents to which it is a party, (c) acknowledges and renews its continued liability under the Loan Documents to which it is a party, (d) agrees, with respect to each Loan Party that is a Guarantor, that its guarantee under the Guaranty remains in full force and effect with respect to the Obligations as amended hereby, (e) represents and warrants to the Lenders and the Administrative Agent that each representation and warranty of such Loan Party contained in the Credit Agreement and the other Loan Documents to which it is a party is true and correct in all material respects as of the date hereof, after giving effect to the amendments set forth in Section 2 hereof, except (i) to the extent any such representations and warranties are expressly limited to an earlier date, in which case, on and as of the date hereof, such representations and warranties shall continue to be true and correct in all material respects as of such specified earlier date, and (ii) to the extent that any such representation and warranty is expressly qualified by materiality or by reference to Material Adverse Effect, such representation and warranty (as so qualified) shall continue to be true and correct in all respects, (f) represents and warrants to the Lenders and the Administrative Agent that the execution, delivery and performance by such Loan Party of this Seventh Amendment are within such Loan Party’s corporate, limited partnership or limited liability company powers (as applicable), have been duly authorized by all necessary action and that this Seventh Amendment constitutes the valid Page 3 4933-4507-0532v.1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binding obligation of such Loan Party enforceable in accordance with its terms, except as the enforceability thereof may be limited by bankruptcy, insolvency or similar laws affecting creditor’s rights generally and (g) represents and warrants to the Lenders and the Administrative Agent that, immediately after giving effect to this Seventh Amendment, no Default exists. 6.3 Counterparts. This Seventh Amendment may be executed by one or more of the parties hereto in any number of separate counterparts, and all of such counterparts taken together shall be deemed to constitute one and the same instrument. Delivery of this Seventh Amendment by fax or electronic transmission (e.g., “.pdf”) shall be effective as delivery of a manually executed original counterpart hereof. The execution and delivery of this Seventh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upon the request of any party hereto, such electronic signature shall be promptly followed by the original thereof. 6.4 No Oral Agreement. This written Seventh Amendment, the Credit Agreement and the other Loan Documents executed in connection herewith and therewith represent the final agreement between the parties hereto or thereto and may not be contradicted by evidence of prior, contemporaneous, or unwritten oral agreements of the parties. There are no subsequent oral agreements between the parties that modify the agreements of the parties in the Credit Agreement and the other Loan Documents. 6.5 Governing Law. This Seventh Amendment (including, but not limited to, the validity and enforceability hereof) shall be governed by, and construed in accordance with, the laws of the State of Texas. 6.6 Payment of Expenses. The Borrower agrees to pay or reimburse the Administrative Agent for all of its reasonable out-of-pocket costs and expenses incurred in connection with this Seventh Amendment, any other documents prepared in connection herewith and the transactions contemplated hereby, including, without limitation, the reasonable fees and disbursements of counsel to the Administrative Agent. 6.7 Severability. Any provision of this Seventh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6.8 Successors and Assigns. This Seventh Amendment shall be binding upon and inure to the benefit of the parties hereto and their respective successors and permitted assigns. [Signature Pages Follow.] Page 4 4933-4507-0532v.1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parties hereto have caused this Seventh Amendment to be duly executed as of the day and year first above written. BORROWER: GRANITE RIDGE RESOURCES, INC., a Delaware corporation By: /s/ Tyler S. Farquharson Name: Tyler S. Farquharson Title: President and Chief Executive Officer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GUARANTORS: GRANITE RIDGE HOLDINGS, LLC, a Delaware limited liability company By: /s/ Tyler S. Farquharson Name: Tyler S. Farquharson Title: President and Chief Executive Officer GRANITE RIDGE REEVES, LLC, a Delaware limited liability company By: /s/ Tyler S. Farquharson Name: Tyler S. Farquharson Title: President and Chief Executive Officer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OF AMERICA, N.A., as Administrative Agent By: /s/ Don B. Pinzon Name: Don B. Pinzon Title: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OF AMERICA, N.A., as a Lender By: /s/ Kimberly Miller Name: Kimberly Miller Title: Director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ONE, NATIONAL ASSOCIATION, as a Lender By: /s/ David Lee Garza Name: David Lee Garza Title: Director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CITIBANK, N.A., as a Lender By: /s/ Austin Lewis Name: Austin Lewis Title: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CITIZENS BANK, N.A., as a Lender By: /s/ Parker Mears Name: Parker Mears Title: Senior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FIFTH THIRD BANK, NATIONAL ASSOCIATION, as a Lender By: /s/ Thomas Kleiderer Name: Thomas Kleiderer Title: Managing Director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FIRST-CITIZENS BANK &amp; TRUST COMPANY, as a Lender By: /s/ John Feeley Name: John Feeley Title: Managing Director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KEYBANK NATIONAL ASSOCIATION, as a Lender By: /s/ David Bornstein Name: David Bornstein Title: Senior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BANK NATIONAL ASSOCIATION, as a Lender By: /s/ Matt Turner Name: Matt Turner Title: Senior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ZIONS BANCORPORATION, N.A. DBA AMEGY BANK, as a Lender By: /s/ Kathlin Ardell Name: Kathlin Ardell Title: Senior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7"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FIFTH THIRD BANK, N.A., successor by merger to Comerica Bank, as a Lender By: /s/ Thomas Kleiderer Name: Thomas Kleiderer Title: Managing Director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8"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BUSEY BANK (successor by merger to CrossFirst Bank), as a Lender By: /s/ Jeff Hall Name: Jeff Hall Title: Managing Director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9"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HORIZON BANK, as a Lender By: /s/ Stacy G. Cartier Name: Stacy G. Cartier Title: Senior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0"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TEXAS CAPITAL BANK, as a Lender By: /s/ Cameron Kuntz Name: Cameron Kuntz Title: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UMB BANK, N.A., as a Lender By: /s/ Zachary S. Leard Name: Zachary S. Leard Title: Vice President [Signature Page to Seventh Amendment to Credit Agreement Granite Ridge Resources, Inc.]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Tyler S. Farquharson,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92" w:type="dxa"/>
        <w:jc w:val="left"/>
        <w:tblInd w:w="0" w:type="dxa"/>
        <w:tblLayout w:type="fixed"/>
        <w:tblCellMar>
          <w:top w:w="28" w:type="dxa"/>
          <w:left w:w="28" w:type="dxa"/>
          <w:bottom w:w="28" w:type="dxa"/>
          <w:right w:w="28" w:type="dxa"/>
        </w:tblCellMar>
      </w:tblPr>
      <w:tblGrid>
        <w:gridCol w:w="705"/>
        <w:gridCol w:w="619"/>
        <w:gridCol w:w="625"/>
        <w:gridCol w:w="234"/>
        <w:gridCol w:w="234"/>
        <w:gridCol w:w="236"/>
        <w:gridCol w:w="947"/>
        <w:gridCol w:w="947"/>
        <w:gridCol w:w="134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By: /s/</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 Kyle Kettler,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23" w:type="dxa"/>
        <w:jc w:val="left"/>
        <w:tblInd w:w="0" w:type="dxa"/>
        <w:tblLayout w:type="fixed"/>
        <w:tblCellMar>
          <w:top w:w="28" w:type="dxa"/>
          <w:left w:w="28" w:type="dxa"/>
          <w:bottom w:w="28" w:type="dxa"/>
          <w:right w:w="28" w:type="dxa"/>
        </w:tblCellMar>
      </w:tblPr>
      <w:tblGrid>
        <w:gridCol w:w="705"/>
        <w:gridCol w:w="619"/>
        <w:gridCol w:w="625"/>
        <w:gridCol w:w="234"/>
        <w:gridCol w:w="234"/>
        <w:gridCol w:w="236"/>
        <w:gridCol w:w="606"/>
        <w:gridCol w:w="606"/>
        <w:gridCol w:w="85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By: /s/</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R. KYLE KETTLER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 Kyle Kettler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Granite Ridge Resources, Inc. (the “Company”) for the period ended June 30, 2026,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843"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417"/>
        <w:gridCol w:w="417"/>
        <w:gridCol w:w="417"/>
        <w:gridCol w:w="943"/>
        <w:gridCol w:w="943"/>
        <w:gridCol w:w="135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 KYLE KETTLER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 Kyle Kettler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92844626000041/grnt-20260805x8kxexx21.htm" TargetMode="External"/><Relationship Id="rId3" Type="http://schemas.openxmlformats.org/officeDocument/2006/relationships/hyperlink" Target="https://www.sec.gov/Archives/edgar/data/1928446/000192844626000041/grnt-20260805x8kxexx21.htm" TargetMode="External"/><Relationship Id="rId4" Type="http://schemas.openxmlformats.org/officeDocument/2006/relationships/hyperlink" Target="https://www.sec.gov/Archives/edgar/data/1928446/000192844626000041/grnt-20260805x8kxexx21.htm" TargetMode="External"/><Relationship Id="rId5" Type="http://schemas.openxmlformats.org/officeDocument/2006/relationships/hyperlink" Target="https://www.sec.gov/Archives/edgar/data/1928446/000192844626000041/grnt-20260805x8kxexx31.htm" TargetMode="External"/><Relationship Id="rId6" Type="http://schemas.openxmlformats.org/officeDocument/2006/relationships/hyperlink" Target="https://www.sec.gov/Archives/edgar/data/1928446/000192844626000041/grnt-20260805x8kxexx31.htm" TargetMode="External"/><Relationship Id="rId7" Type="http://schemas.openxmlformats.org/officeDocument/2006/relationships/hyperlink" Target="https://www.sec.gov/Archives/edgar/data/1928446/000192844626000041/grnt-20260805x8kxexx31.htm" TargetMode="External"/><Relationship Id="rId8" Type="http://schemas.openxmlformats.org/officeDocument/2006/relationships/hyperlink" Target="https://www.sec.gov/Archives/edgar/data/1928446/000192844626000041/grnt-20260805x8kxexx31.htm" TargetMode="External"/><Relationship Id="rId9" Type="http://schemas.openxmlformats.org/officeDocument/2006/relationships/hyperlink" Target="https://www.sec.gov/Archives/edgar/data/1928446/000192844626000041/grnt-20260805x8kxexx31.htm" TargetMode="External"/><Relationship Id="rId10" Type="http://schemas.openxmlformats.org/officeDocument/2006/relationships/hyperlink" Target="https://www.sec.gov/Archives/edgar/data/1928446/000192844626000041/grnt-20260805x8kxexx31.htm" TargetMode="External"/><Relationship Id="rId11" Type="http://schemas.openxmlformats.org/officeDocument/2006/relationships/hyperlink" Target="https://www.sec.gov/Archives/edgar/data/1928446/000192844626000041/grnt-20260805x8kxexx31.htm" TargetMode="External"/><Relationship Id="rId12" Type="http://schemas.openxmlformats.org/officeDocument/2006/relationships/hyperlink" Target="https://www.sec.gov/Archives/edgar/data/1928446/000192844626000041/grnt-20260805x8kxexx31.htm" TargetMode="External"/><Relationship Id="rId13" Type="http://schemas.openxmlformats.org/officeDocument/2006/relationships/hyperlink" Target="https://www.sec.gov/Archives/edgar/data/1928446/000192844626000041/grnt-20260805x8kxexx31.htm" TargetMode="External"/><Relationship Id="rId14" Type="http://schemas.openxmlformats.org/officeDocument/2006/relationships/hyperlink" Target="https://www.sec.gov/Archives/edgar/data/1928446/000192844626000041/grnt-20260805x8kxexx31.htm" TargetMode="External"/><Relationship Id="rId15" Type="http://schemas.openxmlformats.org/officeDocument/2006/relationships/hyperlink" Target="https://www.sec.gov/Archives/edgar/data/1928446/000192844626000041/grnt-20260805x8kxexx32.htm" TargetMode="External"/><Relationship Id="rId16" Type="http://schemas.openxmlformats.org/officeDocument/2006/relationships/hyperlink" Target="https://www.sec.gov/Archives/edgar/data/1928446/000192844626000019/grnt-20260522x8xkxexx101.htm" TargetMode="External"/><Relationship Id="rId17" Type="http://schemas.openxmlformats.org/officeDocument/2006/relationships/hyperlink" Target="https://www.sec.gov/Archives/edgar/data/1928446/000192844626000041/grnt-20260805x8kxexx101.htm" TargetMode="External"/><Relationship Id="rId18" Type="http://schemas.openxmlformats.org/officeDocument/2006/relationships/hyperlink" Target="https://www.sec.gov/Archives/edgar/data/1928446/000192844626000041/grnt-20260805x8kxexx101.htm" TargetMode="External"/><Relationship Id="rId19" Type="http://schemas.openxmlformats.org/officeDocument/2006/relationships/hyperlink" Target="https://www.sec.gov/Archives/edgar/data/1928446/000192844626000041/grnt-20260805x8kxexx101.htm" TargetMode="External"/><Relationship Id="rId20" Type="http://schemas.openxmlformats.org/officeDocument/2006/relationships/hyperlink" Target="https://www.sec.gov/Archives/edgar/data/1928446/000192844626000041/grnt-20260805x8kxexx102.htm" TargetMode="External"/><Relationship Id="rId21" Type="http://schemas.openxmlformats.org/officeDocument/2006/relationships/hyperlink" Target="https://www.sec.gov/Archives/edgar/data/1928446/000192844626000041/grnt-20260805x8kxexx102.htm" TargetMode="External"/><Relationship Id="rId22" Type="http://schemas.openxmlformats.org/officeDocument/2006/relationships/hyperlink" Target="https://www.sec.gov/Archives/edgar/data/1928446/000192844626000041/grnt-20260805x8kxexx102.htm" TargetMode="External"/><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11.jpeg"/><Relationship Id="rId34" Type="http://schemas.openxmlformats.org/officeDocument/2006/relationships/image" Target="media/image12.jpeg"/><Relationship Id="rId35" Type="http://schemas.openxmlformats.org/officeDocument/2006/relationships/image" Target="media/image13.jpeg"/><Relationship Id="rId36" Type="http://schemas.openxmlformats.org/officeDocument/2006/relationships/image" Target="media/image14.jpeg"/><Relationship Id="rId37" Type="http://schemas.openxmlformats.org/officeDocument/2006/relationships/image" Target="media/image15.jpeg"/><Relationship Id="rId38" Type="http://schemas.openxmlformats.org/officeDocument/2006/relationships/image" Target="media/image16.jpeg"/><Relationship Id="rId39" Type="http://schemas.openxmlformats.org/officeDocument/2006/relationships/image" Target="media/image17.jpeg"/><Relationship Id="rId40" Type="http://schemas.openxmlformats.org/officeDocument/2006/relationships/image" Target="media/image18.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24481</Words>
  <Characters>133630</Characters>
  <CharactersWithSpaces>156576</CharactersWithSpaces>
  <Paragraphs>2564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grnt-20260630xxexx101sev</dc:title>
</cp:coreProperties>
</file>