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5266.xml.htm"/>
      <w:bookmarkStart w:id="1" w:name="kswkform4_17908852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Adams Jonathan Anson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5217 MCKINNEY AVENUE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Granite Ridge Resources, Inc.</w:t>
              </w:r>
            </w:hyperlink>
            <w:r>
              <w:rPr/>
              <w:t xml:space="preserve"> [ </w:t>
            </w:r>
            <w:r>
              <w:rPr>
                <w:rFonts w:ascii="Times;serif" w:hAnsi="Times;serif"/>
                <w:color w:val="0000FF"/>
                <w:sz w:val="24"/>
                <w:shd w:fill="FFFFFF" w:val="clear"/>
              </w:rPr>
              <w:t>GRNT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2,019</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27,039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issuer's Board of Directors compensation plan, the reporting person elected to receive stock in lieu of the cash compensation retainer for Board service for the portion of the quarter ended September 30, 2026 that the reporting person served on the Board. The number of shares issued were calculated based on the closing price of the common stock on September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Fuquay, by power of attorney for Jonathan Anson Adams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7278" TargetMode="External"/><Relationship Id="rId5" Type="http://schemas.openxmlformats.org/officeDocument/2006/relationships/hyperlink" Target="http://www.sec.gov/cgi-bin/browse-edgar?action=getcompany&amp;CIK=00019284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3443</Characters>
  <CharactersWithSpaces>4016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