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885041.xml.htm"/>
      <w:bookmarkStart w:id="1" w:name="kswkform4_1790885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Miller Matthew Reade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5217 MCKINNEY AVE., SUITE 400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Granite Ridge Resources, Inc.</w:t>
              </w:r>
            </w:hyperlink>
            <w:r>
              <w:rPr/>
              <w:t xml:space="preserve"> [ </w:t>
            </w:r>
            <w:r>
              <w:rPr>
                <w:rFonts w:ascii="Times;serif" w:hAnsi="Times;serif"/>
                <w:color w:val="0000FF"/>
                <w:sz w:val="24"/>
                <w:shd w:fill="FFFFFF" w:val="clear"/>
              </w:rPr>
              <w:t>GRNT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53"/>
        <w:gridCol w:w="459"/>
        <w:gridCol w:w="622"/>
        <w:gridCol w:w="1288"/>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$0.0001 per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4,320</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28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1,978,612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the issuer's Board of Directors compensation plan, the reporting person elected to receive stock in lieu of the cash compensation retainer for Board service for the quarter ended September 30, 2026. The number of shares issued were calculated based on the closing price of the common stock on September 30,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Fuquay, by power of attorney for Matthew R. Miller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1282" TargetMode="External"/><Relationship Id="rId5" Type="http://schemas.openxmlformats.org/officeDocument/2006/relationships/hyperlink" Target="http://www.sec.gov/cgi-bin/browse-edgar?action=getcompany&amp;CIK=00019284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629</Words>
  <Characters>3392</Characters>
  <CharactersWithSpaces>3954</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