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CURRENT REPORT</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w:t>
      </w:r>
    </w:p>
    <w:p>
      <w:pPr>
        <w:pStyle w:val="TextBody"/>
        <w:bidi w:val="0"/>
        <w:spacing w:lineRule="auto" w:line="288" w:before="200" w:after="283"/>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16"/>
        </w:rPr>
        <w:t>May 22,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GRANITE RIDGE RESOURCES,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4408" w:type="dxa"/>
        <w:jc w:val="center"/>
        <w:tblInd w:w="0" w:type="dxa"/>
        <w:tblLayout w:type="fixed"/>
        <w:tblCellMar>
          <w:top w:w="28" w:type="dxa"/>
          <w:left w:w="28" w:type="dxa"/>
          <w:bottom w:w="28" w:type="dxa"/>
          <w:right w:w="28" w:type="dxa"/>
        </w:tblCellMar>
      </w:tblPr>
      <w:tblGrid>
        <w:gridCol w:w="701"/>
        <w:gridCol w:w="613"/>
        <w:gridCol w:w="621"/>
        <w:gridCol w:w="343"/>
        <w:gridCol w:w="343"/>
        <w:gridCol w:w="348"/>
        <w:gridCol w:w="419"/>
        <w:gridCol w:w="419"/>
        <w:gridCol w:w="601"/>
      </w:tblGrid>
      <w:tr>
        <w:trPr/>
        <w:tc>
          <w:tcPr>
            <w:tcW w:w="70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Texas</w:t>
            </w:r>
          </w:p>
        </w:tc>
        <w:tc>
          <w:tcPr>
            <w:tcW w:w="1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001-41537</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88-2227812</w:t>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tbl>
      <w:tblPr>
        <w:tblW w:w="4107" w:type="dxa"/>
        <w:jc w:val="left"/>
        <w:tblInd w:w="0" w:type="dxa"/>
        <w:tblLayout w:type="fixed"/>
        <w:tblCellMar>
          <w:top w:w="28" w:type="dxa"/>
          <w:left w:w="28" w:type="dxa"/>
          <w:bottom w:w="28" w:type="dxa"/>
          <w:right w:w="28" w:type="dxa"/>
        </w:tblCellMar>
      </w:tblPr>
      <w:tblGrid>
        <w:gridCol w:w="1036"/>
        <w:gridCol w:w="911"/>
        <w:gridCol w:w="918"/>
        <w:gridCol w:w="109"/>
        <w:gridCol w:w="109"/>
        <w:gridCol w:w="109"/>
        <w:gridCol w:w="268"/>
        <w:gridCol w:w="268"/>
        <w:gridCol w:w="37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5217 McKinney Avenue, Suite 400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Dallas,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75205</w:t>
            </w:r>
          </w:p>
        </w:tc>
      </w:tr>
      <w:tr>
        <w:trPr/>
        <w:tc>
          <w:tcPr>
            <w:tcW w:w="28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(214) 396-2850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7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88" w:type="dxa"/>
        <w:jc w:val="left"/>
        <w:tblInd w:w="0" w:type="dxa"/>
        <w:tblLayout w:type="fixed"/>
        <w:tblCellMar>
          <w:top w:w="28" w:type="dxa"/>
          <w:left w:w="28" w:type="dxa"/>
          <w:bottom w:w="28" w:type="dxa"/>
          <w:right w:w="28" w:type="dxa"/>
        </w:tblCellMar>
      </w:tblPr>
      <w:tblGrid>
        <w:gridCol w:w="1174"/>
        <w:gridCol w:w="1025"/>
        <w:gridCol w:w="1040"/>
        <w:gridCol w:w="474"/>
        <w:gridCol w:w="474"/>
        <w:gridCol w:w="47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GRNT</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2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16"/>
        </w:rPr>
        <w:t xml:space="preserve">Emerging growth company </w:t>
      </w:r>
      <w:r>
        <w:rPr>
          <w:rFonts w:ascii="Wingdings;sans-serif" w:hAnsi="Wingdings;sans-serif"/>
          <w:b w:val="false"/>
          <w:color w:val="000000"/>
          <w:sz w:val="16"/>
        </w:rPr>
        <w:t>o</w:t>
      </w:r>
    </w:p>
    <w:p>
      <w:pPr>
        <w:pStyle w:val="TextBody"/>
        <w:bidi w:val="0"/>
        <w:spacing w:lineRule="auto" w:line="288" w:before="20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14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(this “Amendment”) amends the Current Report on Form 8-K filed by Granite Ridge Resources, Inc. (the “Company”) with the U.S. Securities and Exchange Commission on May 22, 2026 (the “Original Form 8-K”). The Original Form 8-K reported the final voting results of the Company’s 2026 Annual Meeting of Stockholders held on May 22, 2026 (the “Annual Meeting”). The sole purpose of this Amendment is to disclose, in accordance with Item 5.07(d) of Form 8-K, the Company’s decision regarding how frequently it will conduct future stockholder advisory votes on the compensation of the Company’s named executive officers. No other changes have been made to the Original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reported in the Original Form 8-K, at the Annual Meeting, the Company’s stockholders voted, on an advisory basis, in favor of holding the advisory vote on the compensation of the Company’s named executive officers every year. In light of this result, and consistent with the recommendation of the Company’s Board of Directors as set forth in the Company’s proxy statement for the Annual Meeting, the Board has determined that the Company will hold future advisory votes on the compensation of the Company’s named executive officers on an annual basis until the next required advisory vote on the frequency of such advisory votes.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2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533"/>
        <w:gridCol w:w="533"/>
        <w:gridCol w:w="533"/>
        <w:gridCol w:w="941"/>
        <w:gridCol w:w="941"/>
        <w:gridCol w:w="132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6"/>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GRANITE RIDGE RESOURCES,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809" w:type="dxa"/>
            <w:gridSpan w:val="6"/>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3390</Characters>
  <CharactersWithSpaces>3924</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