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2024</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6088" w:type="dxa"/>
        <w:jc w:val="center"/>
        <w:tblInd w:w="0" w:type="dxa"/>
        <w:tblLayout w:type="fixed"/>
        <w:tblCellMar>
          <w:top w:w="28" w:type="dxa"/>
          <w:left w:w="28" w:type="dxa"/>
          <w:bottom w:w="28" w:type="dxa"/>
          <w:right w:w="28" w:type="dxa"/>
        </w:tblCellMar>
      </w:tblPr>
      <w:tblGrid>
        <w:gridCol w:w="809"/>
        <w:gridCol w:w="711"/>
        <w:gridCol w:w="715"/>
        <w:gridCol w:w="697"/>
        <w:gridCol w:w="697"/>
        <w:gridCol w:w="705"/>
        <w:gridCol w:w="511"/>
        <w:gridCol w:w="511"/>
        <w:gridCol w:w="732"/>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1311</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bl>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Dallas, TX 75205</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May 6, 2024, there were 130,743,952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terrorism or uncertainty regarding the effects and duration of global hostilities, including the Israel-Hamas conflict, the Russia-Ukraine war, continued instability in the Middle East, including from the Houthi rebels in Yemen, and any associated armed conflicts or related sanctions which may disrupt commodity prices and create instability in the financial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market conditions and global, regulatory, technical, and economic factors beyond Granite Ridge’s control, including the potential adverse effects of world health events, such as the COVID-19 pandemic, affecting capital markets, general economic conditions, global supply chains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2023 (the "2023 Form 10-K") under “Risk Factors,” as updated by any subsequent Quarterly Reports on Form 10-Q, including this Report,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statements in “Item 1A. Risk Factors” of our 2023 Form 10-K and other sections of this Report, which describe factors that could cause our actual results to differ from those set forth in the forward-looking statements. Forward-looking statements speak only as of the date they are made. Our company does not undertake, and specifically disclaims, any obligation to update any forward-looking statements to reflect events or circumstances occurring after the date of such statements, other than as may be required by applicable law or regulation.</w:t>
      </w:r>
    </w:p>
    <w:p>
      <w:pPr>
        <w:pStyle w:val="TextBody"/>
        <w:bidi w:val="0"/>
        <w:spacing w:before="240" w:after="283"/>
        <w:ind w:left="0" w:right="0" w:firstLine="36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573f1c314e34b3cb585dba9dc4b8bf7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28">
              <w:r>
                <w:rPr>
                  <w:rStyle w:val="InternetLink"/>
                  <w:rFonts w:ascii="Times New Roman;sans-serif" w:hAnsi="Times New Roman;sans-serif"/>
                  <w:b w:val="false"/>
                  <w:strike w:val="false"/>
                  <w:dstrike w:val="false"/>
                  <w:color w:val="000000"/>
                  <w:sz w:val="20"/>
                  <w:u w:val="none"/>
                  <w:effect w:val="none"/>
                </w:rPr>
                <w:t>8</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31">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b573f1c314e34b3cb585dba9dc4b8bf7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76">
              <w:r>
                <w:rPr>
                  <w:rStyle w:val="InternetLink"/>
                  <w:rFonts w:ascii="Times New Roman;sans-serif" w:hAnsi="Times New Roman;sans-serif"/>
                  <w:b w:val="false"/>
                  <w:strike w:val="false"/>
                  <w:dstrike w:val="false"/>
                  <w:color w:val="000000"/>
                  <w:sz w:val="20"/>
                  <w:u w:val="none"/>
                  <w:effect w:val="none"/>
                </w:rPr>
                <w:t>28</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06">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06">
              <w:r>
                <w:rPr>
                  <w:rStyle w:val="InternetLink"/>
                  <w:rFonts w:ascii="Times New Roman;sans-serif" w:hAnsi="Times New Roman;sans-serif"/>
                  <w:b w:val="false"/>
                  <w:color w:val="0000FF"/>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06">
              <w:r>
                <w:rPr>
                  <w:rStyle w:val="InternetLink"/>
                  <w:rFonts w:ascii="Times New Roman;sans-serif" w:hAnsi="Times New Roman;sans-serif"/>
                  <w:b w:val="false"/>
                  <w:strike w:val="false"/>
                  <w:dstrike w:val="false"/>
                  <w:color w:val="000000"/>
                  <w:sz w:val="20"/>
                  <w:u w:val="none"/>
                  <w:effect w:val="none"/>
                </w:rPr>
                <w:t>38</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09">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09">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09">
              <w:r>
                <w:rPr>
                  <w:rStyle w:val="InternetLink"/>
                  <w:rFonts w:ascii="Times New Roman;sans-serif" w:hAnsi="Times New Roman;sans-serif"/>
                  <w:b w:val="false"/>
                  <w:strike w:val="false"/>
                  <w:dstrike w:val="false"/>
                  <w:color w:val="000000"/>
                  <w:sz w:val="20"/>
                  <w:u w:val="none"/>
                  <w:effect w:val="none"/>
                </w:rPr>
                <w:t>39</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12">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12">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15">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15">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15">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18">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18">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18">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1">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1">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21">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4">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4">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24">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7">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27">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0">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0">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30">
              <w:r>
                <w:rPr>
                  <w:rStyle w:val="InternetLink"/>
                  <w:rFonts w:ascii="Times New Roman;sans-serif" w:hAnsi="Times New Roman;sans-serif"/>
                  <w:b w:val="false"/>
                  <w:strike w:val="false"/>
                  <w:dstrike w:val="false"/>
                  <w:color w:val="000000"/>
                  <w:sz w:val="20"/>
                  <w:u w:val="none"/>
                  <w:effect w:val="none"/>
                </w:rPr>
                <w:t>40</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3">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3">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33">
              <w:r>
                <w:rPr>
                  <w:rStyle w:val="InternetLink"/>
                  <w:rFonts w:ascii="Times New Roman;sans-serif" w:hAnsi="Times New Roman;sans-serif"/>
                  <w:b w:val="false"/>
                  <w:strike w:val="false"/>
                  <w:dstrike w:val="false"/>
                  <w:color w:val="000000"/>
                  <w:sz w:val="20"/>
                  <w:u w:val="none"/>
                  <w:effect w:val="none"/>
                </w:rPr>
                <w:t>41</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73f1c314e34b3cb585dba9dc4b8bf7_136">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73f1c314e34b3cb585dba9dc4b8bf7_136">
              <w:r>
                <w:rPr>
                  <w:rStyle w:val="InternetLink"/>
                  <w:rFonts w:ascii="Times New Roman;sans-serif" w:hAnsi="Times New Roman;sans-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40"/>
        <w:gridCol w:w="2248"/>
        <w:gridCol w:w="2264"/>
        <w:gridCol w:w="220"/>
        <w:gridCol w:w="826"/>
        <w:gridCol w:w="122"/>
        <w:gridCol w:w="109"/>
        <w:gridCol w:w="109"/>
        <w:gridCol w:w="109"/>
        <w:gridCol w:w="244"/>
        <w:gridCol w:w="918"/>
        <w:gridCol w:w="196"/>
      </w:tblGrid>
      <w:tr>
        <w:trPr/>
        <w:tc>
          <w:tcPr>
            <w:tcW w:w="284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1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793,039 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966,682 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927,104 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193,380 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292,664 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136,424,207 and 136,040,777 issued at March 31, 2024 and December 31, 2023, respectively</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5,680,255 and 5,677,627 shares at March 31, 2024 and December 31, 2023, respectively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674,018 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966,682 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927,104 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27"/>
        <w:gridCol w:w="2354"/>
        <w:gridCol w:w="2369"/>
        <w:gridCol w:w="211"/>
        <w:gridCol w:w="721"/>
        <w:gridCol w:w="109"/>
        <w:gridCol w:w="109"/>
        <w:gridCol w:w="109"/>
        <w:gridCol w:w="109"/>
        <w:gridCol w:w="211"/>
        <w:gridCol w:w="721"/>
        <w:gridCol w:w="155"/>
      </w:tblGrid>
      <w:tr>
        <w:trPr/>
        <w:tc>
          <w:tcPr>
            <w:tcW w:w="3027"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(including non-cash stock-based compensation of $512 and $1,059 for the three months ended March 31, 2024 and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derivatives - commodity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derivatives -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equity investments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63"/>
        <w:gridCol w:w="506"/>
        <w:gridCol w:w="508"/>
        <w:gridCol w:w="229"/>
        <w:gridCol w:w="229"/>
        <w:gridCol w:w="233"/>
        <w:gridCol w:w="126"/>
        <w:gridCol w:w="126"/>
        <w:gridCol w:w="126"/>
        <w:gridCol w:w="327"/>
        <w:gridCol w:w="181"/>
        <w:gridCol w:w="183"/>
        <w:gridCol w:w="109"/>
        <w:gridCol w:w="109"/>
        <w:gridCol w:w="109"/>
        <w:gridCol w:w="196"/>
        <w:gridCol w:w="736"/>
        <w:gridCol w:w="109"/>
        <w:gridCol w:w="109"/>
        <w:gridCol w:w="109"/>
        <w:gridCol w:w="109"/>
        <w:gridCol w:w="367"/>
        <w:gridCol w:w="309"/>
        <w:gridCol w:w="303"/>
        <w:gridCol w:w="109"/>
        <w:gridCol w:w="109"/>
        <w:gridCol w:w="109"/>
        <w:gridCol w:w="300"/>
        <w:gridCol w:w="285"/>
        <w:gridCol w:w="199"/>
        <w:gridCol w:w="109"/>
        <w:gridCol w:w="109"/>
        <w:gridCol w:w="109"/>
        <w:gridCol w:w="196"/>
        <w:gridCol w:w="676"/>
        <w:gridCol w:w="109"/>
        <w:gridCol w:w="109"/>
        <w:gridCol w:w="109"/>
        <w:gridCol w:w="109"/>
        <w:gridCol w:w="223"/>
        <w:gridCol w:w="841"/>
        <w:gridCol w:w="184"/>
      </w:tblGrid>
      <w:tr>
        <w:trPr/>
        <w:tc>
          <w:tcPr>
            <w:tcW w:w="7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674,018</w:t>
            </w:r>
          </w:p>
        </w:tc>
      </w:tr>
    </w:tbl>
    <w:tbl>
      <w:tblPr>
        <w:tblW w:w="10205" w:type="dxa"/>
        <w:jc w:val="left"/>
        <w:tblInd w:w="0" w:type="dxa"/>
        <w:tblLayout w:type="fixed"/>
        <w:tblCellMar>
          <w:top w:w="28" w:type="dxa"/>
          <w:left w:w="28" w:type="dxa"/>
          <w:bottom w:w="28" w:type="dxa"/>
          <w:right w:w="28" w:type="dxa"/>
        </w:tblCellMar>
      </w:tblPr>
      <w:tblGrid>
        <w:gridCol w:w="777"/>
        <w:gridCol w:w="522"/>
        <w:gridCol w:w="524"/>
        <w:gridCol w:w="229"/>
        <w:gridCol w:w="229"/>
        <w:gridCol w:w="233"/>
        <w:gridCol w:w="127"/>
        <w:gridCol w:w="127"/>
        <w:gridCol w:w="127"/>
        <w:gridCol w:w="327"/>
        <w:gridCol w:w="181"/>
        <w:gridCol w:w="183"/>
        <w:gridCol w:w="109"/>
        <w:gridCol w:w="109"/>
        <w:gridCol w:w="109"/>
        <w:gridCol w:w="412"/>
        <w:gridCol w:w="344"/>
        <w:gridCol w:w="347"/>
        <w:gridCol w:w="109"/>
        <w:gridCol w:w="109"/>
        <w:gridCol w:w="109"/>
        <w:gridCol w:w="368"/>
        <w:gridCol w:w="309"/>
        <w:gridCol w:w="303"/>
        <w:gridCol w:w="109"/>
        <w:gridCol w:w="109"/>
        <w:gridCol w:w="109"/>
        <w:gridCol w:w="226"/>
        <w:gridCol w:w="226"/>
        <w:gridCol w:w="196"/>
        <w:gridCol w:w="113"/>
        <w:gridCol w:w="113"/>
        <w:gridCol w:w="113"/>
        <w:gridCol w:w="336"/>
        <w:gridCol w:w="315"/>
        <w:gridCol w:w="272"/>
        <w:gridCol w:w="109"/>
        <w:gridCol w:w="109"/>
        <w:gridCol w:w="109"/>
        <w:gridCol w:w="532"/>
        <w:gridCol w:w="360"/>
        <w:gridCol w:w="426"/>
      </w:tblGrid>
      <w:tr>
        <w:trPr/>
        <w:tc>
          <w:tcPr>
            <w:tcW w:w="77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622,404</w:t>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 (Note 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622,286</w:t>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vesting shares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shares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133,477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645,057</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21" w:type="dxa"/>
        <w:jc w:val="left"/>
        <w:tblInd w:w="0" w:type="dxa"/>
        <w:tblLayout w:type="fixed"/>
        <w:tblCellMar>
          <w:top w:w="28" w:type="dxa"/>
          <w:left w:w="28" w:type="dxa"/>
          <w:bottom w:w="28" w:type="dxa"/>
          <w:right w:w="28" w:type="dxa"/>
        </w:tblCellMar>
      </w:tblPr>
      <w:tblGrid>
        <w:gridCol w:w="2128"/>
        <w:gridCol w:w="1874"/>
        <w:gridCol w:w="1878"/>
        <w:gridCol w:w="210"/>
        <w:gridCol w:w="694"/>
        <w:gridCol w:w="117"/>
        <w:gridCol w:w="117"/>
        <w:gridCol w:w="117"/>
        <w:gridCol w:w="117"/>
        <w:gridCol w:w="210"/>
        <w:gridCol w:w="694"/>
        <w:gridCol w:w="165"/>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 of unproved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derivatives - commodity derivatives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receipts from commodity derivatives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derivatives - common stock warrants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equity investments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expenses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68,656 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(71,005)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(129,926)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expenses related to formation of Granite Ridge Resources, Inc.</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property development costs in accrued expenses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or the “Company”)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the Business Combination closed and was accounted for as a reverse recapitalization and Grey Rock Energy Fund III (as defined below) was determined to be the accounting acquirer and Predecessor (as defined below).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sans-serif" w:hAnsi="Times New Roman;sans-serif"/>
          <w:b w:val="false"/>
          <w:color w:val="000000"/>
          <w:sz w:val="10"/>
        </w:rPr>
        <w:t>TM</w:t>
      </w:r>
      <w:r>
        <w:rPr>
          <w:color w:val="000000"/>
        </w:rPr>
        <w:t xml:space="preserve"> </w:t>
      </w:r>
      <w:r>
        <w:rPr>
          <w:rFonts w:ascii="Times New Roman;sans-serif" w:hAnsi="Times New Roman;sans-serif"/>
          <w:b w:val="false"/>
          <w:color w:val="000000"/>
          <w:sz w:val="20"/>
        </w:rPr>
        <w:t xml:space="preserve">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2023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 The Company's chief operating decision maker manages operations on a consolidated basis for purposes of evaluating operations and allocating resources.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prices, future operating costs, severance taxes, development costs and workover costs, all of which may in fact vary considerably from actual results. The future drilling costs associated with reserves assigned to proved undeveloped locations may ultimately increase to the extent that these reserves are later to be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period presentation.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not been audited by the Company’s independent registered public accounting firm, except that the condensed consolidated balance sheet at December 31, 2023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2023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March 31, 2024 and $0.2 million at December 31, 2023, which was based on a historical loss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Advance to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gas producing activities, as further defined under Accounting Standards Codification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$40.8 million and $33.8 million for the three months ended March 31, 2024 and 2023,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as determined by discounted future cash flows using a discount rate similar to that used by market participants, or comparable market value if available, is recognized at that time. Estimating future cash flows involves the use of judgments, including estimation of the proved and risk-adjusted unproved oil and natural gas reserve quantities, timing of development and production, expected future commodity prices, capital expenditures and production costs and cash flows from integrated assets. There was no proved property impairment recorded for the three months ended March 31, 2024 or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property impairment of $0.7 million for the three months ended March 31, 2024 in the Permian Basin as the operator no longer intends to drill certain locations. There was no unproved property impairment recorded for the three months ended March 31,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Commodity Derivatives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Company accounted for warrants as liability-classified instruments based on an assessment of the warrant’s specific terms and applicable authoritative guidance in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in the condensed consolidated statements of operations. For the period during which the Company’s common stock was publicly traded, the fair value of the warrants was based on quoted prices in an active market.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22, 2023, the Company issued 2,471,738 shares of common stock in exchange for 9,887,035 warrants tendered in the Offer. In July 2023, each remaining outstanding warrant was converted into 0.225 shares of the Company's common stock, and subsequently, no warrants remained outstanding. See Note 9 for further discussion of the Warrant Exchange.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the guidance in ASC 321, "Investments - Equity Securities" ("ASC 321") for its investment in the common and preferred stock of Vital Energy. ASC 321 requires equity investments with readily determinable fair values to be measured at fair value, with unrealized holding gains and losses recorded as a gain or loss on the condensed consolidated statements of operations. For the preferred stock that does not have a readily determinable fair value, the Company has not elected the measurement alternative in ASC 321 and instead accounts for the preferred stock at fair value with unrealized gains and losses recorded through net income. For the three months ended March 31, 2024, an unrealized gain of $7.8 million on the change in fair value of the common and preferred stock is included in the condensed consolidated statements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pPr>
      <w:r>
        <w:rPr>
          <w:rFonts w:ascii="Times New Roman;sans-serif" w:hAnsi="Times New Roman;sans-serif"/>
          <w:b w:val="false"/>
          <w:i/>
          <w:color w:val="000000"/>
          <w:sz w:val="20"/>
        </w:rPr>
        <w:t>Non-operated Crude Oil and Natural Gas Revenues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arrangements, the Company has the right to take a volume of processed residue gas and/or natural gas liquids (“NGLs”) in-kind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expenses the Company incurs to transport the processed products to downstream customers are recorded in lease operating expenses on the condensed consolidated statements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has two primary sources: oil sales and natural gas sales. Substantially all of the Company’s oil and natural gas sales come from five geographic areas in the United States: the Eagle Ford Basin (Texas), the Permian Basin (Texas/New Mexico), the Haynesville Basin (Texas/Louisiana), the Denver-Julesburg “DJ” Basin (Colorado), and the Bakken Basin (Montana/North Dakota). The following tables present the disaggregation of the Company’s oil revenues and natural gas revenues by basin for the three months ended March 31, 2024 and 2023.</w:t>
      </w:r>
    </w:p>
    <w:tbl>
      <w:tblPr>
        <w:tblW w:w="3578" w:type="dxa"/>
        <w:jc w:val="left"/>
        <w:tblInd w:w="0" w:type="dxa"/>
        <w:tblLayout w:type="fixed"/>
        <w:tblCellMar>
          <w:top w:w="28" w:type="dxa"/>
          <w:left w:w="28" w:type="dxa"/>
          <w:bottom w:w="28" w:type="dxa"/>
          <w:right w:w="28" w:type="dxa"/>
        </w:tblCellMar>
      </w:tblPr>
      <w:tblGrid>
        <w:gridCol w:w="407"/>
        <w:gridCol w:w="358"/>
        <w:gridCol w:w="359"/>
        <w:gridCol w:w="211"/>
        <w:gridCol w:w="721"/>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recognized in the Company’s condensed consolidated financial statements on an accelerated basis over the awards’ vesting periods based on their grant date fair values. Restricted stock awards are valued at the closing price of the Company's common stock on the date of grant. The Company utilizes the Monte Carlo simulation method to determine the fair value of certain performance stock units (“PSUs”), the Black-Scholes model for options issued at-the-money, and a binomial lattice model for other stock options. The Company recognizes forfeitures of stock-based compensation awards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No. 2023-07, "Segment Reporting (Topic 280): Improvements to Reportable Segment Disclosures," ("ASU 2023-07") which requires public entities, including public entities with a single reportable segment, to disclose significant segment expenses and other segment items on an annual and interim basis and to provide in interim periods all disclosures about a reportable segment’s profit or loss and assets that are currently required annually. ASU 2023-07 was effective for annual periods beginning after December 15, 2023, and is effective for interim periods within fiscal years beginning after December 15, 2024. Early adoption is permitted. The Company is currently assessing the effect that ASU 2023-07 will have on its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is effective for annual periods beginning after December 15, 2024. Early adoption is permitted. The Company has not early adopted the standard and is currently assessing the effect that ASU 2023-09 will have on its disclosures.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FASB issued ASU No. 2016-13, “Financial Instruments — Credit Losses (Topic 326): Measurement of Credit Losses on Financial Instruments” which replaced the “incurred loss” methodology for recognizing credit losses with an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FASB issued ASU No. 2022-03, “Fair Value Measurement of Equity Securities Subject to Contractual Sale Restrictions,” ("ASU 2022-03") which clarifies that a contractual restriction on the sale of an equity security is not considered part of the unit of account of the equity security and, therefore, is not considered in measuring fair value. ASU 2022-03 also clarifies that an entity cannot, as a separate unit of account, recognize and measure a contractual sale restriction and requires specific disclosures for equity securities subject to contractual sale restrictions such as the fair value of equity securities subject to contractual sale restrictions, the nature and remaining duration of the restrictions and the circumstances that could cause a lapse in the restriction. ASU 2022-03 was effective for fiscal years, and interim periods within those fiscal years, beginning after December 15, 2023, with early application permitted. The adoption of ASU 2022-03 did not have a significant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on individual derivative instruments with its counterparties and therefore certain amounts may be presented on a net basis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outstanding commodity derivative contracts as of March 31, 2024. </w:t>
      </w:r>
    </w:p>
    <w:tbl>
      <w:tblPr>
        <w:tblW w:w="10205" w:type="dxa"/>
        <w:jc w:val="left"/>
        <w:tblInd w:w="0" w:type="dxa"/>
        <w:tblLayout w:type="fixed"/>
        <w:tblCellMar>
          <w:top w:w="28" w:type="dxa"/>
          <w:left w:w="28" w:type="dxa"/>
          <w:bottom w:w="28" w:type="dxa"/>
          <w:right w:w="28" w:type="dxa"/>
        </w:tblCellMar>
      </w:tblPr>
      <w:tblGrid>
        <w:gridCol w:w="1434"/>
        <w:gridCol w:w="918"/>
        <w:gridCol w:w="927"/>
        <w:gridCol w:w="109"/>
        <w:gridCol w:w="109"/>
        <w:gridCol w:w="284"/>
        <w:gridCol w:w="825"/>
        <w:gridCol w:w="144"/>
        <w:gridCol w:w="109"/>
        <w:gridCol w:w="109"/>
        <w:gridCol w:w="109"/>
        <w:gridCol w:w="260"/>
        <w:gridCol w:w="758"/>
        <w:gridCol w:w="133"/>
        <w:gridCol w:w="109"/>
        <w:gridCol w:w="109"/>
        <w:gridCol w:w="109"/>
        <w:gridCol w:w="284"/>
        <w:gridCol w:w="825"/>
        <w:gridCol w:w="144"/>
        <w:gridCol w:w="109"/>
        <w:gridCol w:w="109"/>
        <w:gridCol w:w="109"/>
        <w:gridCol w:w="249"/>
        <w:gridCol w:w="727"/>
        <w:gridCol w:w="109"/>
        <w:gridCol w:w="211"/>
        <w:gridCol w:w="616"/>
        <w:gridCol w:w="158"/>
      </w:tblGrid>
      <w:tr>
        <w:trPr/>
        <w:tc>
          <w:tcPr>
            <w:tcW w:w="14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1,074,922</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439,852</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2,156,000</w:t>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1,612,050</w:t>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months ended March 31, 2024 and 2023:</w:t>
      </w:r>
    </w:p>
    <w:tbl>
      <w:tblPr>
        <w:tblW w:w="5912"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721"/>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months ended March 31, 2024 and 2023:</w:t>
      </w:r>
    </w:p>
    <w:tbl>
      <w:tblPr>
        <w:tblW w:w="6487" w:type="dxa"/>
        <w:jc w:val="left"/>
        <w:tblInd w:w="0" w:type="dxa"/>
        <w:tblLayout w:type="fixed"/>
        <w:tblCellMar>
          <w:top w:w="28" w:type="dxa"/>
          <w:left w:w="28" w:type="dxa"/>
          <w:bottom w:w="28" w:type="dxa"/>
          <w:right w:w="28" w:type="dxa"/>
        </w:tblCellMar>
      </w:tblPr>
      <w:tblGrid>
        <w:gridCol w:w="1385"/>
        <w:gridCol w:w="1218"/>
        <w:gridCol w:w="1222"/>
        <w:gridCol w:w="230"/>
        <w:gridCol w:w="672"/>
        <w:gridCol w:w="119"/>
        <w:gridCol w:w="119"/>
        <w:gridCol w:w="119"/>
        <w:gridCol w:w="119"/>
        <w:gridCol w:w="230"/>
        <w:gridCol w:w="672"/>
        <w:gridCol w:w="11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commodity derivatives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during the period they were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gain of $5.3 million during the three months ended March 31, 2023 from the change in fair value of the warrant liability in the condensed consolidated statements of operations.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The warrants exchanged in the Offer were marked to fair value on the date of settlement, and the liability of $17.0 million and $0.7 million related to the exchanged common stock warrants was removed from the consolidated balance sheet in June 2023 and July 2023, respectively, and the issuance of shares of the Company’s common stock was reflected in stockholders’ equity. See Note 9 for further discussion of the Warrant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March 31, 2024 and December 31, 2023:</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expenses due to sellers,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Equity investment</w:t>
      </w:r>
      <w:r>
        <w:rPr>
          <w:rFonts w:ascii="Times New Roman;sans-serif" w:hAnsi="Times New Roman;sans-serif"/>
          <w:b w:val="false"/>
          <w:color w:val="000000"/>
          <w:sz w:val="20"/>
        </w:rPr>
        <w:t>s — The fair value of the Company’s investment in Vital Energy's common stock was valued using the instrument's publicly listed trading price, which is considered to be a Level 1 measurement due to the use of an observable market quote in an active market. The fair value of the Company's investment in Vital Energy's preferred stock is estimated by management considering various factors, including the publicly listed trading price of Vital Energy's common shares and the present value of expected dividends prior to the conversion of the preferred shares. The fair value of the investment in preferred stock is considered to be a Level 2 measurement. Substantially all of these inputs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Vital Energy common and preferred shares are subject to certain restrictions. Upon approval by holders of a majority of the issued and outstanding shares of Vital Energy common stock eligible to vote, which vote will take place at a meeting of Vital Energy's stockholders on May 23, 2024, the preferred stock is to be converted into common shares. Prior to this stockholder approval, the common shares owned by the Company are not entitled to vote and bear a restricted legend to that effect. For each share of preferred stock being converted, the Company shall receive a number of common shares in aggregate equal to the conversion rate. The initial conversion rate is one share of common stock per share of preferred stock. The conversion rate is adjusted upon the occurrence of events such as Vital Energy's issuance of common stock as a dividend, the issuance of common stock warrants or similar rights to all the common stockholders, the distribution of shares of its capital stock to acquire its capital stock or other securities, or if Vital Energy makes a cash distribution, except if it elects to give a dividend to the preferred stock in lieu of an adjustment to the conversion price.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2024 and December 31, 2023.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754"/>
        <w:gridCol w:w="628"/>
        <w:gridCol w:w="6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88"/>
        <w:gridCol w:w="862"/>
        <w:gridCol w:w="149"/>
        <w:gridCol w:w="109"/>
        <w:gridCol w:w="109"/>
        <w:gridCol w:w="109"/>
        <w:gridCol w:w="276"/>
        <w:gridCol w:w="947"/>
        <w:gridCol w:w="207"/>
      </w:tblGrid>
      <w:tr>
        <w:trPr/>
        <w:tc>
          <w:tcPr>
            <w:tcW w:w="7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4"/>
        <w:gridCol w:w="627"/>
        <w:gridCol w:w="61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88"/>
        <w:gridCol w:w="862"/>
        <w:gridCol w:w="149"/>
        <w:gridCol w:w="109"/>
        <w:gridCol w:w="109"/>
        <w:gridCol w:w="109"/>
        <w:gridCol w:w="276"/>
        <w:gridCol w:w="947"/>
        <w:gridCol w:w="208"/>
      </w:tblGrid>
      <w:tr>
        <w:trPr/>
        <w:tc>
          <w:tcPr>
            <w:tcW w:w="75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investments - common stock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investments - preferred stock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Values – Non Recurring</w:t>
      </w:r>
    </w:p>
    <w:p>
      <w:pPr>
        <w:pStyle w:val="TextBody"/>
        <w:bidi w:val="0"/>
        <w:spacing w:lineRule="auto" w:line="288" w:before="240" w:after="283"/>
        <w:jc w:val="both"/>
        <w:rPr/>
      </w:pPr>
      <w:r>
        <w:rPr>
          <w:rFonts w:ascii="Times New Roman;sans-serif" w:hAnsi="Times New Roman;sans-serif"/>
          <w:b w:val="false"/>
          <w:i/>
          <w:color w:val="000000"/>
          <w:sz w:val="20"/>
        </w:rPr>
        <w:t>Asset retirement obligations</w:t>
      </w:r>
      <w:r>
        <w:rPr>
          <w:color w:val="000000"/>
        </w:rPr>
        <w:t xml:space="preserve"> — </w:t>
      </w:r>
      <w:r>
        <w:rPr>
          <w:rFonts w:ascii="Times New Roman;sans-serif" w:hAnsi="Times New Roman;sans-serif"/>
          <w:b w:val="false"/>
          <w:color w:val="000000"/>
          <w:sz w:val="20"/>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2024 Acquisitions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acquired various oil and natural gas properties, all of which qualified as asset acquisitions. During the three months ended March 31, 2024, the Company closed an acquisition of proved and unproved oil and natural gas properties for a total purchase price of $2.0 million in the Permian Basin as well as various acquisitions of interests in producing properties totaling $0.3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quarter, the Company recorded closing adjustments that reduced the acquisition price of business combinations completed during 2023 by $1.1 million.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acquired various oil and natural gas properties, all of which qualified as asset acquisitions. These included the following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Permian Basin - During the three months ended March 31, 2023, the Company closed on various acquisitions of unproved oil and natural gas properties for a total purchase price of $9.6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DJ Basin - During the three months ended March 31, 2023, the Company closed on an acquisition of proved developed producing oil and natural gas properties in the DJ Basin. As consideration for the entire acquisition, the Company paid $16.6 million in cash, after closing adjustments, of which $1.9 million was held in escrow and paid during 2022. Asset retirement obligations incurred and acquired were $0.9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Granite Ridge Resources, Inc. 2022 Omnibus Incentive Plan (the “Plan”) provides the Company the ability to grant, among other award types, stock options, restricted stock awards, and PSUs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the Company granted restricted stock awards, stock options, and PSUs. During the first quarter of 2023, the Company granted restricted stock awards, fully vested stock awards, stock options, and PSUs. Stock-based compensation expense during the three months ended March 31, 2024 and 2023 was $0.5 million and $1.1 million, respectively. </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has granted restricted stock awards to certain of its employees and consultants under the Plan.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ratably over a period of three years.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has granted PSUs to certain of its officers under the Plan. The PSUs cliff vest at the end of three years, generally subject to continued employment through the performance period. The total number of shares eligible to be earned may range from zero to 200% of the target number of PSUs granted, determined based upon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achieved by the Company compared to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the PSUs based on financial performance are valued based on the closing price of the Company's common stock on the date of grant.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The Company has granted stock options to certain of its officers under the Plan. The Company's outstanding stock options expire in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three months ended March 31, 2024, the Company granted 134,375 stock options with an exercise price of $6.06 per share. During the three months ended March 31, 2023, the Company granted 72,108 stock options with an exercise price per share of $5.02 and 320,000 stock options with an exercise price per share of $9.22.</w:t>
      </w:r>
    </w:p>
    <w:p>
      <w:pPr>
        <w:pStyle w:val="TextBody"/>
        <w:bidi w:val="0"/>
        <w:spacing w:lineRule="auto" w:line="288" w:before="240" w:after="283"/>
        <w:jc w:val="both"/>
        <w:rPr/>
      </w:pPr>
      <w:r>
        <w:rPr>
          <w:rFonts w:ascii="Times New Roman;sans-serif" w:hAnsi="Times New Roman;sans-serif"/>
          <w:b w:val="false"/>
          <w:i/>
          <w:color w:val="000000"/>
          <w:sz w:val="20"/>
        </w:rPr>
        <w:t xml:space="preserve">Stock Awards </w:t>
      </w:r>
      <w:r>
        <w:rPr>
          <w:rFonts w:ascii="Times New Roman;sans-serif" w:hAnsi="Times New Roman;sans-serif"/>
          <w:b w:val="false"/>
          <w:color w:val="000000"/>
          <w:sz w:val="20"/>
        </w:rPr>
        <w:t>- The Company may issue other awards to its employees and consultants under the Plan. During the first quarter of 2023, the Company issued 94,007 fully vested stock awards as other awards to certain of its employees and consultants under the Plan. Weighted average grant date fair value of other awards was $8.51.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three months ended March 31, 2024 is presented below:</w:t>
      </w:r>
    </w:p>
    <w:tbl>
      <w:tblPr>
        <w:tblW w:w="10205" w:type="dxa"/>
        <w:jc w:val="left"/>
        <w:tblInd w:w="0" w:type="dxa"/>
        <w:tblLayout w:type="fixed"/>
        <w:tblCellMar>
          <w:top w:w="28" w:type="dxa"/>
          <w:left w:w="28" w:type="dxa"/>
          <w:bottom w:w="28" w:type="dxa"/>
          <w:right w:w="28" w:type="dxa"/>
        </w:tblCellMar>
      </w:tblPr>
      <w:tblGrid>
        <w:gridCol w:w="1467"/>
        <w:gridCol w:w="1288"/>
        <w:gridCol w:w="1294"/>
        <w:gridCol w:w="531"/>
        <w:gridCol w:w="1131"/>
        <w:gridCol w:w="242"/>
        <w:gridCol w:w="141"/>
        <w:gridCol w:w="141"/>
        <w:gridCol w:w="141"/>
        <w:gridCol w:w="502"/>
        <w:gridCol w:w="1220"/>
        <w:gridCol w:w="262"/>
        <w:gridCol w:w="141"/>
        <w:gridCol w:w="141"/>
        <w:gridCol w:w="141"/>
        <w:gridCol w:w="367"/>
        <w:gridCol w:w="807"/>
        <w:gridCol w:w="248"/>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295,990 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 (2)</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526,483 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 / unit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three months ended March 31, 2024, 175,493 stock options vested. As of March 31, 2024, there were a total of 306,195 stock options exercisable.</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three months ended March 31, 2023 is presented below:</w:t>
      </w:r>
    </w:p>
    <w:tbl>
      <w:tblPr>
        <w:tblW w:w="10205" w:type="dxa"/>
        <w:jc w:val="left"/>
        <w:tblInd w:w="0" w:type="dxa"/>
        <w:tblLayout w:type="fixed"/>
        <w:tblCellMar>
          <w:top w:w="28" w:type="dxa"/>
          <w:left w:w="28" w:type="dxa"/>
          <w:bottom w:w="28" w:type="dxa"/>
          <w:right w:w="28" w:type="dxa"/>
        </w:tblCellMar>
      </w:tblPr>
      <w:tblGrid>
        <w:gridCol w:w="1511"/>
        <w:gridCol w:w="1326"/>
        <w:gridCol w:w="1333"/>
        <w:gridCol w:w="512"/>
        <w:gridCol w:w="1133"/>
        <w:gridCol w:w="242"/>
        <w:gridCol w:w="135"/>
        <w:gridCol w:w="135"/>
        <w:gridCol w:w="135"/>
        <w:gridCol w:w="498"/>
        <w:gridCol w:w="1210"/>
        <w:gridCol w:w="260"/>
        <w:gridCol w:w="135"/>
        <w:gridCol w:w="135"/>
        <w:gridCol w:w="135"/>
        <w:gridCol w:w="350"/>
        <w:gridCol w:w="782"/>
        <w:gridCol w:w="238"/>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0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0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 (2)</w:t>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 / unit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three months ended March 31, 2023, 130,702 stock options vested and were exercisable as of March 31,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became the sole owner of GREP. GREP is a disregarded entity for U.S. federal income tax purposes. As a result of the Business Combination, the Funds' net assets were transferred to the Company resulting in carryover tax basis of those assets. The Company is a C corporation and subject to U.S. federal income tax and state and local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income taxes through the use of an estimated annual effective tax rate and specific events that are discretely recognized as they occur. For the three months ended March 31, 2024 and 2023, the Company recorded income tax expense of $4.8 million and $10.8 million, respectively. </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23.0% and 22.6% for the three months ended March 31, 2024 and 2023, respectively</w:t>
      </w:r>
      <w:r>
        <w:rPr>
          <w:rFonts w:ascii="Times New Roman;sans-serif" w:hAnsi="Times New Roman;sans-serif"/>
          <w:b w:val="false"/>
          <w:color w:val="000000"/>
          <w:sz w:val="20"/>
          <w:shd w:fill="FFFFFF" w:val="clear"/>
        </w:rPr>
        <w:t>. The effective 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March 31, 2024 and December 31, 2023,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were effective for tax years beginning after December 31, 2022. The Department of Treasury is expected to continue to publish regulations relevant to many aspects of the IRA. The Company currently does not believe that there will be a material impact on its cash taxes or income tax expense for the 2024 tax year or future periods but will continue to monitor.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$137.5 million and $110.0 million at March 31, 2024 and December 31, 2023,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initially provided for aggregate elected commitments of $150.0 million, an initial borrowing base of $325.0 million and an aggregate maximum revolving credit amount of $1.0 billion. The borrowing base is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a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 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 agent and L/C Issuer (as defined therein), replacing Texas Capital Bank, (b) increased the size of the lender group by adding nine new banks, with one bank exiting the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increased the borrowing base from $275.0 million to $300.0 million, and (d) increased the aggregate elected commitments from $240.0 million to $300.0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outstanding borrowings of $137.5 million and $0.3 million of letters of credit issued and outstanding under the Credit Agreement, resulting in availability of $102.2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was in compliance with all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pPr>
      <w:r>
        <w:rPr>
          <w:rFonts w:ascii="Times New Roman;sans-serif" w:hAnsi="Times New Roman;sans-serif"/>
          <w:b w:val="false"/>
          <w:i/>
          <w:color w:val="000000"/>
          <w:sz w:val="20"/>
        </w:rPr>
        <w:t>Warrant Exchange</w:t>
      </w:r>
      <w:r>
        <w:rPr>
          <w:color w:val="000000"/>
        </w:rPr>
        <w:t xml:space="preserve"> </w:t>
      </w:r>
      <w:r>
        <w:rPr>
          <w:rFonts w:ascii="Times New Roman;sans-serif" w:hAnsi="Times New Roman;sans-serif"/>
          <w:b w:val="false"/>
          <w:color w:val="000000"/>
          <w:sz w:val="20"/>
        </w:rPr>
        <w:t xml:space="preserve">- On June 22, 2023, the Company completed an Offer to holders of its outstanding warrants which provided such holders the 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partial shares. In July 2023, each remaining outstanding warrant was converted into 0.225 shares of the Company’s common stock, and subsequently, no warrants remained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exchanged in the Offer were marked to fair value on the date of settlement, which was recorded in gain on derivatives - common stock warrants on the condensed consolidated statements of operations. Upon exchange, the liability of $17.0 million and $0.7 million related to the exchanged common stock warrants in June 2023 and July 2023, respectively, was removed from the consolidated balance sheet and the issuance of shares of the Company’s common stock was reflected in stockholders’ equity. </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$14.3 million, or $0.11 per share during the three months ended March 31, 2024. The Company paid dividends of $14.6 million, or $0.11 per share, during the three months ended March 31, 2023. Any payment of future dividends will be at the discretion of the Company’s Board of Directors.</w:t>
      </w:r>
    </w:p>
    <w:p>
      <w:pPr>
        <w:pStyle w:val="TextBody"/>
        <w:bidi w:val="0"/>
        <w:spacing w:lineRule="auto" w:line="288" w:before="240" w:after="283"/>
        <w:jc w:val="both"/>
        <w:rPr/>
      </w:pPr>
      <w:r>
        <w:rPr>
          <w:rFonts w:ascii="Times New Roman;sans-serif" w:hAnsi="Times New Roman;sans-serif"/>
          <w:b w:val="false"/>
          <w:i/>
          <w:color w:val="000000"/>
          <w:sz w:val="20"/>
        </w:rPr>
        <w:t>Stock Repurchase Program</w:t>
      </w:r>
      <w:r>
        <w:rPr>
          <w:color w:val="000000"/>
        </w:rPr>
        <w:t xml:space="preserve"> </w:t>
      </w:r>
      <w:r>
        <w:rPr>
          <w:rFonts w:ascii="Times New Roman;sans-serif" w:hAnsi="Times New Roman;sans-serif"/>
          <w:b w:val="false"/>
          <w:color w:val="000000"/>
          <w:sz w:val="20"/>
        </w:rPr>
        <w:t>- In December 2022, the Company announced that its Board of Directors approved a stock repurchase program for up to $50.0 million of the Company’s common stock through December 31, 2023. Under the stock repurchase program, the Company was permitted to repurchase shares of its common stock from time to time in open market transactions or in privately negotiated transactions as permitted under applicable rules and regulations. The stock repurchase program terminated on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repurchased 273,017 shares under the program at an aggregate cost of $1.7 million.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of the Business Combination,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service fees for the Company under the MSA were approximately $2.5 million for each period and are included in general and administrative expenses within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obligations under the derivative instruments are secured pursuant to the Credit Agreement, and no additional collateral has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2022"/>
        <w:gridCol w:w="1780"/>
        <w:gridCol w:w="1799"/>
        <w:gridCol w:w="380"/>
        <w:gridCol w:w="1299"/>
        <w:gridCol w:w="196"/>
        <w:gridCol w:w="196"/>
        <w:gridCol w:w="196"/>
        <w:gridCol w:w="196"/>
        <w:gridCol w:w="380"/>
        <w:gridCol w:w="1299"/>
        <w:gridCol w:w="196"/>
        <w:gridCol w:w="109"/>
        <w:gridCol w:w="157"/>
      </w:tblGrid>
      <w:tr>
        <w:trPr/>
        <w:tc>
          <w:tcPr>
            <w:tcW w:w="202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6" w:type="dxa"/>
            <w:gridSpan w:val="2"/>
            <w:tcBorders/>
          </w:tcPr>
          <w:p>
            <w:pPr>
              <w:pStyle w:val="TableContents"/>
              <w:bidi w:val="0"/>
              <w:spacing w:before="0" w:after="283"/>
              <w:jc w:val="left"/>
              <w:rPr>
                <w:sz w:val="4"/>
                <w:szCs w:val="4"/>
              </w:rPr>
            </w:pPr>
            <w:r>
              <w:rPr>
                <w:sz w:val="4"/>
                <w:szCs w:val="4"/>
              </w:rPr>
            </w:r>
          </w:p>
        </w:tc>
      </w:tr>
      <w:tr>
        <w:trPr/>
        <w:tc>
          <w:tcPr>
            <w:tcW w:w="56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Warrant Exchange, the warrants were out-of-the-money and were not included in the computation of the diluted earnings per share. As a result of the Warrant Exchange, no warrants remained outstanding at March 31, 2024. Diluted net earnings per share for the three months ended March 31, 2023 excluded 10,349,975 common stock warrants outstanding.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is a summary of the PSUs and stock options, which were not included in the computation of diluted earnings per share, as inclusion of these items would be antidilutive. </w:t>
      </w:r>
    </w:p>
    <w:tbl>
      <w:tblPr>
        <w:tblW w:w="6526" w:type="dxa"/>
        <w:jc w:val="left"/>
        <w:tblInd w:w="0" w:type="dxa"/>
        <w:tblLayout w:type="fixed"/>
        <w:tblCellMar>
          <w:top w:w="28" w:type="dxa"/>
          <w:left w:w="28" w:type="dxa"/>
          <w:bottom w:w="28" w:type="dxa"/>
          <w:right w:w="28" w:type="dxa"/>
        </w:tblCellMar>
      </w:tblPr>
      <w:tblGrid>
        <w:gridCol w:w="1204"/>
        <w:gridCol w:w="1060"/>
        <w:gridCol w:w="1066"/>
        <w:gridCol w:w="572"/>
        <w:gridCol w:w="266"/>
        <w:gridCol w:w="266"/>
        <w:gridCol w:w="266"/>
        <w:gridCol w:w="266"/>
        <w:gridCol w:w="266"/>
        <w:gridCol w:w="499"/>
        <w:gridCol w:w="266"/>
        <w:gridCol w:w="26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 Amendment to Credit Agreement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Company entered into the Third Amendment by and among the Company, as borrower, Texas Capital Bank, as resigning administrative agent, Bank of America, as successor administrative agent, and the lenders from time to time party thereto.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Third Amendment, among other things, (a) appointed Bank of America as administrative 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foregoing, the material terms of the Credit Agreement remain unchanged.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Company entered into the following oil and natural gas derivative contracts to hedge additional amounts of estimated future production. </w:t>
      </w:r>
    </w:p>
    <w:tbl>
      <w:tblPr>
        <w:tblW w:w="10000" w:type="dxa"/>
        <w:jc w:val="left"/>
        <w:tblInd w:w="0" w:type="dxa"/>
        <w:tblLayout w:type="fixed"/>
        <w:tblCellMar>
          <w:top w:w="28" w:type="dxa"/>
          <w:left w:w="28" w:type="dxa"/>
          <w:bottom w:w="28" w:type="dxa"/>
          <w:right w:w="28" w:type="dxa"/>
        </w:tblCellMar>
      </w:tblPr>
      <w:tblGrid>
        <w:gridCol w:w="1089"/>
        <w:gridCol w:w="900"/>
        <w:gridCol w:w="905"/>
        <w:gridCol w:w="109"/>
        <w:gridCol w:w="109"/>
        <w:gridCol w:w="109"/>
        <w:gridCol w:w="109"/>
        <w:gridCol w:w="308"/>
        <w:gridCol w:w="747"/>
        <w:gridCol w:w="159"/>
        <w:gridCol w:w="109"/>
        <w:gridCol w:w="109"/>
        <w:gridCol w:w="109"/>
        <w:gridCol w:w="331"/>
        <w:gridCol w:w="803"/>
        <w:gridCol w:w="171"/>
        <w:gridCol w:w="109"/>
        <w:gridCol w:w="109"/>
        <w:gridCol w:w="109"/>
        <w:gridCol w:w="236"/>
        <w:gridCol w:w="572"/>
        <w:gridCol w:w="123"/>
        <w:gridCol w:w="109"/>
        <w:gridCol w:w="109"/>
        <w:gridCol w:w="109"/>
        <w:gridCol w:w="211"/>
        <w:gridCol w:w="616"/>
        <w:gridCol w:w="109"/>
        <w:gridCol w:w="109"/>
        <w:gridCol w:w="109"/>
        <w:gridCol w:w="109"/>
        <w:gridCol w:w="235"/>
        <w:gridCol w:w="569"/>
        <w:gridCol w:w="172"/>
      </w:tblGrid>
      <w:tr>
        <w:trPr/>
        <w:tc>
          <w:tcPr>
            <w:tcW w:w="108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Collars (oil)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Swaps (oil)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price ($/Bbl)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Collars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7,171,176</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637"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43"/>
        <w:gridCol w:w="1125"/>
        <w:gridCol w:w="17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769,542 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7847" w:type="dxa"/>
        <w:jc w:val="left"/>
        <w:tblInd w:w="0" w:type="dxa"/>
        <w:tblLayout w:type="fixed"/>
        <w:tblCellMar>
          <w:top w:w="28" w:type="dxa"/>
          <w:left w:w="28" w:type="dxa"/>
          <w:bottom w:w="28" w:type="dxa"/>
          <w:right w:w="28" w:type="dxa"/>
        </w:tblCellMar>
      </w:tblPr>
      <w:tblGrid>
        <w:gridCol w:w="1591"/>
        <w:gridCol w:w="1400"/>
        <w:gridCol w:w="1404"/>
        <w:gridCol w:w="427"/>
        <w:gridCol w:w="337"/>
        <w:gridCol w:w="339"/>
        <w:gridCol w:w="220"/>
        <w:gridCol w:w="220"/>
        <w:gridCol w:w="220"/>
        <w:gridCol w:w="427"/>
        <w:gridCol w:w="390"/>
        <w:gridCol w:w="391"/>
        <w:gridCol w:w="109"/>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62,639</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2023 (the "2023 Form 10-K")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non-operated oil and gas exploration and production company. We own a portfolio of wells and top-tier acreage across the Permian and four other prolific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but we are not burdened by long-term contracts and drilling obligations common to operators.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Business Combination, see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price differential to the NYMEX benchmark price during the three months ended March 31, 2024 and 2023 was a premium of $0.67 per barrel and $0.15 per barrel, respectively. Our natural gas price differential to the average NYMEX price during the three months ended March 31, 2024 and 2023 was a discount of $(0.31) per Mcf and $(0.12)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natural gas and oil that we produce significantly impact our revenues and cash flows. The following table lists average NYMEX prices for oil and natural gas for the three months ended March 31, 2024 and 2023.</w:t>
      </w:r>
    </w:p>
    <w:tbl>
      <w:tblPr>
        <w:tblW w:w="5477" w:type="dxa"/>
        <w:jc w:val="left"/>
        <w:tblInd w:w="0" w:type="dxa"/>
        <w:tblLayout w:type="fixed"/>
        <w:tblCellMar>
          <w:top w:w="28" w:type="dxa"/>
          <w:left w:w="28" w:type="dxa"/>
          <w:bottom w:w="28" w:type="dxa"/>
          <w:right w:w="28" w:type="dxa"/>
        </w:tblCellMar>
      </w:tblPr>
      <w:tblGrid>
        <w:gridCol w:w="847"/>
        <w:gridCol w:w="745"/>
        <w:gridCol w:w="748"/>
        <w:gridCol w:w="427"/>
        <w:gridCol w:w="285"/>
        <w:gridCol w:w="286"/>
        <w:gridCol w:w="220"/>
        <w:gridCol w:w="220"/>
        <w:gridCol w:w="220"/>
        <w:gridCol w:w="427"/>
        <w:gridCol w:w="285"/>
        <w:gridCol w:w="286"/>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99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6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closing prices.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average NYMEX oil pricing was $77.50 per barrel of oil, or 2% higher than the average NYMEX price per barrel for the three months ended March 31, 2023. Our settled derivatives increased our realized oil price per barrel by $0.10 for the three months ended March 31, 2024 and increased our realized oil price per barrel by $2.02 for the three months ended March 31, 2023. For the three months ended March 31, 2024, our average realized oil price per barrel after reflecting settled derivatives was $78.27 compared to $78.16 for the three months ended March 31,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average NYMEX natural gas pricing was $2.15 per Mcf, or 22% lower than the average NYMEX price per Mcf for the three months ended March 31, 2023. Our settled derivatives increased our realized natural gas price per Mcf by $0.36 for three months ended March 31, 2024 and increased our realized natural gas price per Mcf by $0.66 for the three months ended March 31, 2023. For the three months ended March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 2024, our average realized natural gas price per Mcf after reflecting settled derivatives was $2.20 compared to $3.31 for the three months ended March 31, 2023.</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2212"/>
        <w:gridCol w:w="1767"/>
        <w:gridCol w:w="1773"/>
        <w:gridCol w:w="349"/>
        <w:gridCol w:w="1150"/>
        <w:gridCol w:w="193"/>
        <w:gridCol w:w="193"/>
        <w:gridCol w:w="193"/>
        <w:gridCol w:w="193"/>
        <w:gridCol w:w="349"/>
        <w:gridCol w:w="1150"/>
        <w:gridCol w:w="193"/>
        <w:gridCol w:w="109"/>
        <w:gridCol w:w="109"/>
        <w:gridCol w:w="109"/>
        <w:gridCol w:w="163"/>
      </w:tblGrid>
      <w:tr>
        <w:trPr/>
        <w:tc>
          <w:tcPr>
            <w:tcW w:w="22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and related product sales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oil derivatives on average price (per Bbl)</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net of settled oil derivatives (per Bbl) (2)</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natural gas derivatives on average price (per Mcf)</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net of settled natural gas derivatives (per Mcf) (2)</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commodity derivatives on average price (per Boe)</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including settled commodity derivatives (2)</w:t>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49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181.34 </w:t>
            </w:r>
          </w:p>
        </w:tc>
        <w:tc>
          <w:tcPr>
            <w:tcW w:w="1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152.18 </w:t>
            </w:r>
          </w:p>
        </w:tc>
        <w:tc>
          <w:tcPr>
            <w:tcW w:w="1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Natural Gas and Related Product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vary from year to year primarily due to changes in realized commodity prices and production volumes. Our oil and natural gas sales for the three months ended March 31, 2024 decreased 3% from the same period in 2023, driven by the decrease in realized prices, excluding the effect of settled commodity derivatives, partially offset by the increase in production. The lower average realized prices were driven by lower average NYMEX natural gas prices, partially offset by increased NYMEX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because of drilling success and the acquisition of additional net revenue interests. This increase in production is offset by the natural decline of the production rate of existing oil and natural gas wells as well as the sale of certain of our Permian Basin assets to Vital Energy, Inc. ("Vital Energy") in December 2023. The number of wells we participated in increased from 152.18 net wells on March 31, 2023 to 181.34 net wells on March 31,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$15.5 million ($7.13 per Boe) for the three months ended March 31, 2024, an increase of 12% from $13.8 million ($6.61 per Boe) during the same period in 2023. The increase was primarily due to an increase in well count due to acquisitions and additional wells successfully drilled and completed, higher repair and maintenance costs, higher saltwater disposal costs and overall increased cost of services. The increase in lease operating expenses per Boe was primarily due to higher repair and maintenance costs, saltwater disposal costs, and compression costs, partially offset by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$4.3 million ($1.98 per Boe) for the three months ended March 31, 2024 compared to $5.1 million ($2.44 per Boe) during the same period in 2023. As a percentage of oil and natural gas sales, our production taxes were 5% and 6% during the three months ended March 31, 2024 and 2023,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by $0.8 million during the three months ended March 31, 2024 as compared to the same period in 2023,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$40.9 million ($18.87 per Boe) for the three months ended March 31, 2024, an increase of 21% from $33.9 million ($16.24 per Boe) during the same period in 2023. The increase in depletion and accretion expense was primarily due to the increase in depletion expense resulting from the increase in production and depletion rate.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Unproved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recognized impairment expense of $0.7 million on unproved properties in the Permian Basin as the operator no longer intends to drill certain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months ended March 31, 2024 and 2023:</w:t>
      </w:r>
    </w:p>
    <w:tbl>
      <w:tblPr>
        <w:tblW w:w="6371" w:type="dxa"/>
        <w:jc w:val="left"/>
        <w:tblInd w:w="0" w:type="dxa"/>
        <w:tblLayout w:type="fixed"/>
        <w:tblCellMar>
          <w:top w:w="28" w:type="dxa"/>
          <w:left w:w="28" w:type="dxa"/>
          <w:bottom w:w="28" w:type="dxa"/>
          <w:right w:w="28" w:type="dxa"/>
        </w:tblCellMar>
      </w:tblPr>
      <w:tblGrid>
        <w:gridCol w:w="1281"/>
        <w:gridCol w:w="1127"/>
        <w:gridCol w:w="1132"/>
        <w:gridCol w:w="226"/>
        <w:gridCol w:w="659"/>
        <w:gridCol w:w="116"/>
        <w:gridCol w:w="116"/>
        <w:gridCol w:w="116"/>
        <w:gridCol w:w="116"/>
        <w:gridCol w:w="226"/>
        <w:gridCol w:w="659"/>
        <w:gridCol w:w="116"/>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$6.5 million ($2.99 per Boe) for the three months ended March 31, 2024, a decrease of 24% from $8.6 million ($4.11 per Boe) during the same period in 2023. The decrease was primarily due to lower stock-based compensation expense of $0.5 million for the three months ended March 31, 2024 as compared to $1.1 million for the same period of 2023 as well as lower professional services and legal costs for the comparative period in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months ended March 31, 2024 and 2023:</w:t>
      </w:r>
    </w:p>
    <w:tbl>
      <w:tblPr>
        <w:tblW w:w="5912"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721"/>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derivatives for the three months ended March 31, 2024 and 2023:</w:t>
      </w:r>
    </w:p>
    <w:tbl>
      <w:tblPr>
        <w:tblW w:w="6487" w:type="dxa"/>
        <w:jc w:val="left"/>
        <w:tblInd w:w="0" w:type="dxa"/>
        <w:tblLayout w:type="fixed"/>
        <w:tblCellMar>
          <w:top w:w="28" w:type="dxa"/>
          <w:left w:w="28" w:type="dxa"/>
          <w:bottom w:w="28" w:type="dxa"/>
          <w:right w:w="28" w:type="dxa"/>
        </w:tblCellMar>
      </w:tblPr>
      <w:tblGrid>
        <w:gridCol w:w="1385"/>
        <w:gridCol w:w="1218"/>
        <w:gridCol w:w="1222"/>
        <w:gridCol w:w="230"/>
        <w:gridCol w:w="672"/>
        <w:gridCol w:w="119"/>
        <w:gridCol w:w="119"/>
        <w:gridCol w:w="119"/>
        <w:gridCol w:w="119"/>
        <w:gridCol w:w="230"/>
        <w:gridCol w:w="672"/>
        <w:gridCol w:w="11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commodity derivatives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$3.2 million for the three months ended March 31, 2024 compared to $0.3 million for the three months ended March 31, 2023. The increase in interest expense during the three months ended March 31, 2024 as compared to 2023 was primarily due to an increase in the average outstanding balance on the revolving credit facility, an increase in interest rates and an increase in amortization of 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on Derivatives – Common Stock Warrants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We recorded a gain of</w:t>
      </w:r>
      <w:r>
        <w:rPr>
          <w:color w:val="000000"/>
          <w:shd w:fill="FFFFFF" w:val="clear"/>
        </w:rPr>
        <w:t xml:space="preserve"> </w:t>
      </w:r>
      <w:r>
        <w:rPr>
          <w:rFonts w:ascii="Times New Roman;sans-serif" w:hAnsi="Times New Roman;sans-serif"/>
          <w:b w:val="false"/>
          <w:color w:val="000000"/>
          <w:sz w:val="20"/>
          <w:shd w:fill="FFFFFF" w:val="clear"/>
        </w:rPr>
        <w:t>$5.3 million</w:t>
      </w:r>
      <w:r>
        <w:rPr>
          <w:color w:val="000000"/>
        </w:rPr>
        <w:t xml:space="preserve"> </w:t>
      </w:r>
      <w:r>
        <w:rPr>
          <w:rFonts w:ascii="Times New Roman;sans-serif" w:hAnsi="Times New Roman;sans-serif"/>
          <w:b w:val="false"/>
          <w:color w:val="000000"/>
          <w:sz w:val="20"/>
        </w:rPr>
        <w:t xml:space="preserve">during three months ended March 31, 2023 from the change in fair value of the warrant liability. See Note 3 and Note 9 of the Notes to Condensed Consolidated Financial Statements for additional information on the common stock warrants and the Warrant Exchange.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on Equity Investments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We recorded a gain o</w:t>
      </w:r>
      <w:r>
        <w:rPr>
          <w:rFonts w:ascii="Times New Roman;sans-serif" w:hAnsi="Times New Roman;sans-serif"/>
          <w:b w:val="false"/>
          <w:color w:val="000000"/>
          <w:sz w:val="20"/>
          <w:shd w:fill="FFFFFF" w:val="clear"/>
        </w:rPr>
        <w:t>f $7.8 million</w:t>
      </w:r>
      <w:r>
        <w:rPr>
          <w:color w:val="000000"/>
        </w:rPr>
        <w:t xml:space="preserve"> </w:t>
      </w:r>
      <w:r>
        <w:rPr>
          <w:rFonts w:ascii="Times New Roman;sans-serif" w:hAnsi="Times New Roman;sans-serif"/>
          <w:b w:val="false"/>
          <w:color w:val="000000"/>
          <w:sz w:val="20"/>
        </w:rPr>
        <w:t>for the three months ended March 31, 2024 from the change in fair value of the common and preferred stock of Vital Energy. See Note 4 of the Notes to Condensed Consolidated Financial Statements for additional information on the common and preferred stock of Vital Energy owned as of March 31,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We recorded income tax expense of $4.8 million for the three months ended March 31, 2024 compared to $10.8 million for the three months ended March 31, 2023. </w:t>
      </w:r>
      <w:r>
        <w:rPr>
          <w:rFonts w:ascii="Times New Roman;sans-serif" w:hAnsi="Times New Roman;sans-serif"/>
          <w:b w:val="false"/>
          <w:color w:val="000000"/>
          <w:sz w:val="20"/>
        </w:rPr>
        <w:t>The effective income tax rate differs from the statutory rate primarily due to the impact of certain discrete items and state income taxes. See Note 7 of the Notes to Condensed Consolidated Financial Statements for additional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$137.5 million of debt outstanding under our Credit Agreement (as defined below). We had $123.0 million of liquidity as of March 31, 2024, consisting of $102.2 million of committed borrowing availability under the Credit Agreement and $20.8 million of cash on hand. 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increased the borrowing base from $275.0 million to $300.0 million, and increased the aggregate elected commitments from $240.0 million to $300.0 million. See Note 8 of the Notes to Condensed Consolidated Financial Statements for additional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$14.3 million, or $0.11 per share, and $14.6 million, or $0.11 per share, during the first quarter of 2024 and 2023, respectively. Any payment of future dividends will be at the discretion of the Company’s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announced that our Board of Directors approved a stock repurchase program for up to $50 million of our common stock through December 31, 2023. Under the stock repurchase program, we repurchased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from time to time in open market transactions or in privately negotiated transactions as permitted under applicable rules and regulations. The stock repurchase program terminated on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repurchased 273,017 shares under the program at an aggregate cost of $1.7 million.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restricted cash for the three months ended March 31, 2024 and 2023:</w:t>
      </w:r>
    </w:p>
    <w:tbl>
      <w:tblPr>
        <w:tblW w:w="5994" w:type="dxa"/>
        <w:jc w:val="left"/>
        <w:tblInd w:w="0" w:type="dxa"/>
        <w:tblLayout w:type="fixed"/>
        <w:tblCellMar>
          <w:top w:w="28" w:type="dxa"/>
          <w:left w:w="28" w:type="dxa"/>
          <w:bottom w:w="28" w:type="dxa"/>
          <w:right w:w="28" w:type="dxa"/>
        </w:tblCellMar>
      </w:tblPr>
      <w:tblGrid>
        <w:gridCol w:w="1255"/>
        <w:gridCol w:w="1103"/>
        <w:gridCol w:w="1107"/>
        <w:gridCol w:w="211"/>
        <w:gridCol w:w="721"/>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$12.8 million decrease in operating cash flows during the three months ended March 31, 2024 as compared to the same period in 2023 was primarily due to the decrease in oil and natural gas sales and higher operating costs as well as a decrease in settlements received from commodity derivatives. Settlements received during the three months ended March 31, 2024 were $2.7 million as compared to $6.4 million of settlements received on commodity derivatives during the same period in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benefit of $7.1 million and a benefit of $11.9 million for the three months ended March 31, 2024 and 2023, respectively, associated with changes in working capital items. Changes in working capital items adjust for the timing of receipts and payments of actual cash.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our net cash used in investing activities was $71.0 million, which consisted primarily of $69.7 million of capital expenditures for oil and natural gas properties and $2.6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our net cash used in investing activities was $129.9 million, which consisted primarily of $105.6 million of capital expenditures for oil and natural gas properties and $24.4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our net cash provided by financing activities was $12.7 million, primarily due to $27.5 million of borrowings under our Credit Agreement (as defined below), partially offset by $14.3 million of dividends paid on our common stock and $0.4 million of common stock repurchases.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our net cash provided by financing activities was $8.5 million, primarily due to $25.0 million of borrowings under our Credit Agreement, partially offset by $14.6 million of dividends paid on our common stock and $1.8 million of common stock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initially provided for aggregate elected commitments of $150.0 million, an initial borrowing base of $325.0 million and an aggregate maximum revolving credit amount of $1.0 billion. The borrowing base is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a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 Inc. 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 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outstanding borrowings of $137.5 million and $0.3 million of outstanding letters of credit issued and outstanding under the Credit Agreement, resulting in availability of $102.2 million. The Credit Agreement is guaranteed by the restricted subsidiaries of Granite Ridge and is secured by a first priority mortgage and security interest in substantially all assets of the Company and its restricted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we were in compliance with all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2023, there have been no material changes in our contractual obligations, other than the $27.5 million increase in long-term debt due to borrowings under the Credit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2024, we are budgeting for approximately $265 million to $285 million in total planned capital expenditures, including approximately $35 million of acquisitions of oil and natural gas properties. Our costs incurred on oil and natural gas properties, excluding acquisitions, during the three months ended March 31, 2024 and 2023 totaled $62.6 million and $98.6 million, respectively. Our capital expenditures for the three months ended March 31, 2024 were primarily funded with cash flows from operations and borrowings under the Credit Agreement.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months ended March 31, 2024 and 2023:</w:t>
      </w:r>
    </w:p>
    <w:tbl>
      <w:tblPr>
        <w:tblW w:w="5723" w:type="dxa"/>
        <w:jc w:val="left"/>
        <w:tblInd w:w="0" w:type="dxa"/>
        <w:tblLayout w:type="fixed"/>
        <w:tblCellMar>
          <w:top w:w="28" w:type="dxa"/>
          <w:left w:w="28" w:type="dxa"/>
          <w:bottom w:w="28" w:type="dxa"/>
          <w:right w:w="28" w:type="dxa"/>
        </w:tblCellMar>
      </w:tblPr>
      <w:tblGrid>
        <w:gridCol w:w="977"/>
        <w:gridCol w:w="860"/>
        <w:gridCol w:w="862"/>
        <w:gridCol w:w="427"/>
        <w:gridCol w:w="285"/>
        <w:gridCol w:w="286"/>
        <w:gridCol w:w="220"/>
        <w:gridCol w:w="220"/>
        <w:gridCol w:w="220"/>
        <w:gridCol w:w="427"/>
        <w:gridCol w:w="338"/>
        <w:gridCol w:w="338"/>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three months ended March 31, 2024. See our disclosure of critical accounting policies in “Item 7. Management’s Discussion and Analysis of Financial Condition and Results of Operations” and “Item 8. Financial Statements and Supplementary Data” of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recently issued or adopted accounting pronouncements, see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three months ended March 31, 2024, a 10% increase in average commodity prices would have decreased the fair value of commodity derivatives by $10.5 million. We may incur significant unrealized losses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our exposure to interest rate changes related primarily to the borrowings under the Credit Agreement. The interest we pay on these borrowings is set periodically based upon market rates. We had total indebtedness of $137.5 million outstanding under our Credit Agreement at March 31, 2024. The impact of a one percent increase in interest rates on this amount of debt would result in increased annual interest expense of approximately $1.4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2024, our disclosure controls and procedures were effective at a level of reasonable assurance.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first quarter of 2024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was not a party to any material legal proceedings during the three months ended March 31, 2024.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from those described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each period presented:</w:t>
      </w:r>
    </w:p>
    <w:tbl>
      <w:tblPr>
        <w:tblW w:w="10205" w:type="dxa"/>
        <w:jc w:val="left"/>
        <w:tblInd w:w="0" w:type="dxa"/>
        <w:tblLayout w:type="fixed"/>
        <w:tblCellMar>
          <w:top w:w="28" w:type="dxa"/>
          <w:left w:w="28" w:type="dxa"/>
          <w:bottom w:w="28" w:type="dxa"/>
          <w:right w:w="28" w:type="dxa"/>
        </w:tblCellMar>
      </w:tblPr>
      <w:tblGrid>
        <w:gridCol w:w="792"/>
        <w:gridCol w:w="696"/>
        <w:gridCol w:w="707"/>
        <w:gridCol w:w="132"/>
        <w:gridCol w:w="132"/>
        <w:gridCol w:w="132"/>
        <w:gridCol w:w="501"/>
        <w:gridCol w:w="501"/>
        <w:gridCol w:w="503"/>
        <w:gridCol w:w="132"/>
        <w:gridCol w:w="132"/>
        <w:gridCol w:w="132"/>
        <w:gridCol w:w="460"/>
        <w:gridCol w:w="381"/>
        <w:gridCol w:w="383"/>
        <w:gridCol w:w="132"/>
        <w:gridCol w:w="132"/>
        <w:gridCol w:w="132"/>
        <w:gridCol w:w="580"/>
        <w:gridCol w:w="580"/>
        <w:gridCol w:w="582"/>
        <w:gridCol w:w="132"/>
        <w:gridCol w:w="132"/>
        <w:gridCol w:w="132"/>
        <w:gridCol w:w="568"/>
        <w:gridCol w:w="568"/>
        <w:gridCol w:w="819"/>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 March 31, 2024</w:t>
            </w:r>
          </w:p>
        </w:tc>
        <w:tc>
          <w:tcPr>
            <w:tcW w:w="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8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shares that were withheld by us to satisfy tax withholding obligations of certain employees that arose upon the lapse of restrictions on stock-based awards during the first quarter of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46"/>
        <w:gridCol w:w="2635"/>
        <w:gridCol w:w="3755"/>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r>
              <w:fldChar w:fldCharType="begin"/>
            </w:r>
            <w:r>
              <w:rPr>
                <w:rStyle w:val="InternetLink"/>
                <w:sz w:val="20"/>
                <w:u w:val="single"/>
                <w:b w:val="false"/>
                <w:rFonts w:ascii="Times New Roman;sans-serif" w:hAnsi="Times New Roman;sans-serif"/>
                <w:color w:val="0000EE"/>
              </w:rPr>
              <w:instrText xml:space="preserve"> HYPERLINK "https://www.sec.gov/Archives/edgar/data/1928446/000119312522189730/d336730ds4a.htm" \l "tx336730_41"</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Business Combination Agreement, dated May 16, 2022, by and among Executive Network Partnering Corporation, Granite Ridge Resources, Inc., ENPC Merger Sub, Inc., GREP Merger Sub, LLC, and GREP (incorporated by reference to Annex A of Granite Ridge Resources, Inc.’s Registration Statement on Form S-4, filed with the SEC on May 16, 2022).</w:t>
            </w:r>
            <w:r>
              <w:rPr>
                <w:rStyle w:val="InternetLink"/>
                <w:sz w:val="20"/>
                <w:u w:val="single"/>
                <w:b w:val="false"/>
                <w:rFonts w:ascii="Times New Roman;sans-serif" w:hAnsi="Times New Roman;sans-serif"/>
                <w:color w:val="0000EE"/>
              </w:rPr>
              <w:fldChar w:fldCharType="end"/>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4">
              <w:r>
                <w:rPr>
                  <w:rStyle w:val="InternetLink"/>
                  <w:rFonts w:ascii="Times New Roman;sans-serif" w:hAnsi="Times New Roman;sans-serif"/>
                  <w:b w:val="false"/>
                  <w:color w:val="0000EE"/>
                  <w:sz w:val="20"/>
                  <w:u w:val="single"/>
                </w:rPr>
                <w:t>Description of Securities (incorporated by reference to Exhibit 4.1 to the Company’s Annual Report on Form 10-K filed with the SEC on March 27,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5">
              <w:r>
                <w:rPr>
                  <w:rStyle w:val="InternetLink"/>
                  <w:rFonts w:ascii="Times New Roman;sans-serif" w:hAnsi="Times New Roman;sans-serif"/>
                  <w:b w:val="false"/>
                  <w:color w:val="0000EE"/>
                  <w:sz w:val="20"/>
                  <w:u w:val="single"/>
                </w:rPr>
                <w:t>Specimen Common Stock Certificate (incorporated by reference to Exhibit 4.1 to Granite Ridge Resources, Inc.’s Registration Statement on Form S-4/A, filed with the SEC on September 12, 2022).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nt-20240331x10qxexx101.htm">
              <w:r>
                <w:rPr>
                  <w:rStyle w:val="InternetLink"/>
                  <w:rFonts w:ascii="Times New Roman;sans-serif" w:hAnsi="Times New Roman;sans-serif"/>
                  <w:b w:val="false"/>
                  <w:color w:val="0000FF"/>
                  <w:sz w:val="20"/>
                  <w:u w:val="single"/>
                </w:rPr>
                <w:t>Executive Change of Control Termination Agreement between Kimberly Weimer and Granite Ridge Resources, Inc.</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331x10qxexx311.htm">
              <w:r>
                <w:rPr>
                  <w:rStyle w:val="InternetLink"/>
                  <w:rFonts w:ascii="Times New Roman;sans-serif" w:hAnsi="Times New Roman;sans-serif"/>
                  <w:b w:val="false"/>
                  <w:color w:val="0000EE"/>
                  <w:sz w:val="20"/>
                  <w:u w:val="single"/>
                </w:rPr>
                <w:t>Certification of the Company’s Chief Executive Officer Pursuant to Section 302 of the Sarbanes Oxley Act of 2002 (18 U.S.C. Section 7241).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331x10qxexx312.htm">
              <w:r>
                <w:rPr>
                  <w:rStyle w:val="InternetLink"/>
                  <w:rFonts w:ascii="Times New Roman;sans-serif" w:hAnsi="Times New Roman;sans-serif"/>
                  <w:b w:val="false"/>
                  <w:color w:val="0000FF"/>
                  <w:sz w:val="20"/>
                  <w:u w:val="single"/>
                </w:rPr>
                <w:t>Certification of the Company’s Chief Financial Officer Pursuant to Section 302 of the Sarbanes Oxley Act of 2002 (18 U.S.C. Section 7241).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40331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 (18 U.S.C. Section 1350).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plan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11" w:type="dxa"/>
        <w:jc w:val="left"/>
        <w:tblInd w:w="0" w:type="dxa"/>
        <w:tblLayout w:type="fixed"/>
        <w:tblCellMar>
          <w:top w:w="28" w:type="dxa"/>
          <w:left w:w="28" w:type="dxa"/>
          <w:bottom w:w="28" w:type="dxa"/>
          <w:right w:w="28" w:type="dxa"/>
        </w:tblCellMar>
      </w:tblPr>
      <w:tblGrid>
        <w:gridCol w:w="419"/>
        <w:gridCol w:w="367"/>
        <w:gridCol w:w="369"/>
        <w:gridCol w:w="363"/>
        <w:gridCol w:w="363"/>
        <w:gridCol w:w="363"/>
        <w:gridCol w:w="409"/>
        <w:gridCol w:w="409"/>
        <w:gridCol w:w="409"/>
        <w:gridCol w:w="948"/>
        <w:gridCol w:w="948"/>
        <w:gridCol w:w="134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A. WEIMER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A. Weimer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35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CHANGE OF CONTROL TERMINATION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Change of Control Termination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by and between Granite Ridge Resources,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Kimberly Weimer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and is effective as of March 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Employee is employed by the Company as its Chief Accounting Officer;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has determined that it is in the best interests of the Company to continue employing Employee through the consummation of a potential Change of Control (as defined 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promises, and obligations set forth herein, the parties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Term of Agreement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Initial Term</w:t>
      </w:r>
      <w:r>
        <w:rPr>
          <w:rFonts w:ascii="Times New Roman;sans-serif" w:hAnsi="Times New Roman;sans-serif"/>
          <w:b w:val="false"/>
          <w:color w:val="000000"/>
          <w:sz w:val="24"/>
        </w:rPr>
        <w:t>. The initial term of this Agreement (the “</w:t>
      </w:r>
      <w:r>
        <w:rPr>
          <w:rFonts w:ascii="Times New Roman;sans-serif" w:hAnsi="Times New Roman;sans-serif"/>
          <w:b w:val="false"/>
          <w:color w:val="000000"/>
          <w:sz w:val="24"/>
          <w:u w:val="single"/>
        </w:rPr>
        <w:t>Initial Term</w:t>
      </w:r>
      <w:r>
        <w:rPr>
          <w:color w:val="000000"/>
        </w:rPr>
        <w:t>”</w:t>
      </w:r>
      <w:r>
        <w:rPr>
          <w:rFonts w:ascii="Times New Roman;sans-serif" w:hAnsi="Times New Roman;sans-serif"/>
          <w:b w:val="false"/>
          <w:color w:val="000000"/>
          <w:sz w:val="24"/>
        </w:rPr>
        <w:t>) shall be for the period which commences on the Effective Date and which terminates on the three year anniversary of the Effective Date (the “</w:t>
      </w:r>
      <w:r>
        <w:rPr>
          <w:rFonts w:ascii="Times New Roman;sans-serif" w:hAnsi="Times New Roman;sans-serif"/>
          <w:b w:val="false"/>
          <w:color w:val="000000"/>
          <w:sz w:val="24"/>
          <w:u w:val="single"/>
        </w:rPr>
        <w:t>Expiration Date</w:t>
      </w:r>
      <w:r>
        <w:rPr>
          <w:color w:val="000000"/>
        </w:rPr>
        <w:t>”</w:t>
      </w:r>
      <w:r>
        <w:rPr>
          <w:rFonts w:ascii="Times New Roman;sans-serif" w:hAnsi="Times New Roman;sans-serif"/>
          <w:b w:val="false"/>
          <w:color w:val="000000"/>
          <w:sz w:val="24"/>
        </w:rPr>
        <w:t xml:space="preserve">), unless terminated before the Expiration Date in accordance with this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Renewal Term</w:t>
      </w:r>
      <w:r>
        <w:rPr>
          <w:rFonts w:ascii="Times New Roman;sans-serif" w:hAnsi="Times New Roman;sans-serif"/>
          <w:b w:val="false"/>
          <w:color w:val="000000"/>
          <w:sz w:val="24"/>
        </w:rPr>
        <w:t>. The Initial Term of this Agreement shall automatically be extended for an additional one-year term on the Expiration Date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and on each successive anniversary of the Expiration Date (each, a “</w:t>
      </w:r>
      <w:r>
        <w:rPr>
          <w:rFonts w:ascii="Times New Roman;sans-serif" w:hAnsi="Times New Roman;sans-serif"/>
          <w:b w:val="false"/>
          <w:color w:val="000000"/>
          <w:sz w:val="24"/>
          <w:u w:val="single"/>
        </w:rPr>
        <w:t>Renewal Date</w:t>
      </w:r>
      <w:r>
        <w:rPr>
          <w:color w:val="000000"/>
        </w:rPr>
        <w:t>”</w:t>
      </w:r>
      <w:r>
        <w:rPr>
          <w:rFonts w:ascii="Times New Roman;sans-serif" w:hAnsi="Times New Roman;sans-serif"/>
          <w:b w:val="false"/>
          <w:color w:val="000000"/>
          <w:sz w:val="24"/>
        </w:rPr>
        <w:t xml:space="preserve">), unless and until (i) the Board gives written notice of non-renewal at least 90 days before any Renewal Date; or (ii) this Agreement is terminated earlier in accordance with this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xml:space="preserve">. For all purposes in this Agreement, the Initial Term and any Renewal Terms are referred to collectively as the “Term” of this Agreement. If Employee’s employment with the Company terminates for any reason other than those described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during the Term, this Agreement shall terminate as of such date of termination and Employee shall not be entitled to the payments and benefits described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Modification of Term Upon Change of Control</w:t>
      </w:r>
      <w:r>
        <w:rPr>
          <w:rFonts w:ascii="Times New Roman;sans-serif" w:hAnsi="Times New Roman;sans-serif"/>
          <w:b w:val="false"/>
          <w:color w:val="000000"/>
          <w:sz w:val="24"/>
        </w:rPr>
        <w:t>. Upon a Change of Control during the Term, the Term will be extended (or reduced, as the case may be) through the end of the Protection Period (as defined below), immediately following which time this Agreement will terminate.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Survival of Certain Provisions</w:t>
      </w:r>
      <w:r>
        <w:rPr>
          <w:rFonts w:ascii="Times New Roman;sans-serif" w:hAnsi="Times New Roman;sans-serif"/>
          <w:b w:val="false"/>
          <w:color w:val="000000"/>
          <w:sz w:val="24"/>
        </w:rPr>
        <w:t>. Notwithstanding the expiration of the Term or other termination of this Agreement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of this Agreement shall survive any expiration or termination of this Agreement, and if a Change of Control shall occur prior to the expiration of the Term or other termination of this Agreement, the terms of this Agreement shall survive to the extent necessary to enable Employee to enforce Employee’s rights under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of this Agreement.</w:t>
      </w:r>
    </w:p>
    <w:p>
      <w:pPr>
        <w:pStyle w:val="TextBody"/>
        <w:bidi w:val="0"/>
        <w:spacing w:before="0" w:after="24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Payment and Benefits Due Upon Termination in Connection with Change of Control</w:t>
      </w:r>
      <w:r>
        <w:rPr>
          <w:rFonts w:ascii="Times New Roman;sans-serif" w:hAnsi="Times New Roman;sans-serif"/>
          <w:b w:val="false"/>
          <w:color w:val="000000"/>
          <w:sz w:val="24"/>
        </w:rPr>
        <w:t>. If the Company should undergo a Change of Control the parties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Change of Control Benefits</w:t>
      </w:r>
      <w:r>
        <w:rPr>
          <w:rFonts w:ascii="Times New Roman;sans-serif" w:hAnsi="Times New Roman;sans-serif"/>
          <w:b w:val="false"/>
          <w:color w:val="000000"/>
          <w:sz w:val="24"/>
        </w:rPr>
        <w:t>. If Employee is employed by the Company on the CIC Effective Date (as defined below) and Employee is terminated on or before the six-month anniversary of the CIC Effective Date (the “</w:t>
      </w:r>
      <w:r>
        <w:rPr>
          <w:rFonts w:ascii="Times New Roman;sans-serif" w:hAnsi="Times New Roman;sans-serif"/>
          <w:b w:val="false"/>
          <w:color w:val="000000"/>
          <w:sz w:val="24"/>
          <w:u w:val="single"/>
        </w:rPr>
        <w:t>Protection Period</w:t>
      </w:r>
      <w:r>
        <w:rPr>
          <w:color w:val="000000"/>
        </w:rPr>
        <w:t>”</w:t>
      </w:r>
      <w:r>
        <w:rPr>
          <w:rFonts w:ascii="Times New Roman;sans-serif" w:hAnsi="Times New Roman;sans-serif"/>
          <w:b w:val="false"/>
          <w:color w:val="000000"/>
          <w:sz w:val="24"/>
        </w:rPr>
        <w:t>) by the Company without Cause or by Employee for Good Reason, then the Company shall provide Employee with the following payments and benefits (collectively, the “</w:t>
      </w:r>
      <w:r>
        <w:rPr>
          <w:rFonts w:ascii="Times New Roman;sans-serif" w:hAnsi="Times New Roman;sans-serif"/>
          <w:b w:val="false"/>
          <w:color w:val="000000"/>
          <w:sz w:val="24"/>
          <w:u w:val="single"/>
        </w:rPr>
        <w:t>Change of Control Benefits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(i)an amount equal to three times the sum of (A) Employee’s annual base salary that is in effect immediately before Employee’s date of termination, plus (B) the annual discretionary bonus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received by Employee for the fiscal year preceding the date of termination (or if Employee was employed for less than one full fiscal year prior to the date of termination, the Annual Bonus shall be the annual target for the Annual Bonus payable during the current fiscal year) (together, the “</w:t>
      </w:r>
      <w:r>
        <w:rPr>
          <w:rFonts w:ascii="Times New Roman;sans-serif" w:hAnsi="Times New Roman;sans-serif"/>
          <w:b w:val="false"/>
          <w:color w:val="000000"/>
          <w:sz w:val="24"/>
          <w:u w:val="single"/>
        </w:rPr>
        <w:t>Change of Control Payment</w:t>
      </w:r>
      <w:r>
        <w:rPr>
          <w:color w:val="000000"/>
        </w:rPr>
        <w:t>”</w:t>
      </w:r>
      <w:r>
        <w:rPr>
          <w:rFonts w:ascii="Times New Roman;sans-serif" w:hAnsi="Times New Roman;sans-serif"/>
          <w:b w:val="false"/>
          <w:color w:val="000000"/>
          <w:sz w:val="24"/>
        </w:rPr>
        <w:t xml:space="preserve">). The Change of Control Payment shall be paid to Employee in a lump sum within 60 days of Employee’s date of termination;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that no Change of Control Payment shall be paid to Employee unless the Company receives, on or within 55 days after the date of termination, an executed and fully effective copy of the Release (as defined 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(ii)notwithstanding anything to the contrary within the LTIP or an applicable award agreement granted thereunder, Employee shall be entitled to accelerated vesting with respect to all time-based equity awards (including with respect to the time-based portion of any performance-based equity awards) outstanding at the time of the applicable termination of employment by the Company without Cause or by Employee for Good Reason;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(iii)during the 18-month period commencing on the date of termination that Employee is eligible to elect and elects to continue coverage for Employee and their eligible dependents under the Company’s group health insurance plan pursuant to the Consolidated Omnibus Budget Reconciliation Act of 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xml:space="preserve">) or similar state law, the Company shall reimburse Employee on a monthly basis for the difference between the amount Employee pays to effect and continue such coverage under COBRA and the employee contribution amount that active employees of the Company pay for the same or similar coverage;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xml:space="preserve">, that Employee shall notify the Company in writing within five days after Employee becomes eligible after the date of termination for group health insurance coverage, if any, through subsequent employment or otherwise and the Company shall have no further reimbursement obligation after the Employee becomes eligible for group health insurance coverage due to subsequent employment or otherwise.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Execution and Non-Revocation of General Release Agreement</w:t>
      </w:r>
      <w:r>
        <w:rPr>
          <w:rFonts w:ascii="Times New Roman;sans-serif" w:hAnsi="Times New Roman;sans-serif"/>
          <w:b w:val="false"/>
          <w:color w:val="000000"/>
          <w:sz w:val="24"/>
        </w:rPr>
        <w:t xml:space="preserve">. Notwithstanding any other provision in this Agreement, the Change of Control Benefits are subject to the condition that within 55 days after Employee’s date of termination, Employee executes, delivers to the Company, and does not revoke as </w:t>
      </w:r>
    </w:p>
    <w:p>
      <w:pPr>
        <w:pStyle w:val="TextBody"/>
        <w:bidi w:val="0"/>
        <w:spacing w:before="0" w:after="24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permitted by applicable law a General Release Agreement in a form reasonably acceptable to the Company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that, among other things, fully and finally releases and waives any and all claims, demands, actions, and suits whatsoever which Employee has or may have against the Company and their affiliates, whether under this Agreement or otherwise, that arose before the Release was executed. For purposes of this Agreement, the Release shall not become fully enforceable and irrevocable until Employee has timely executed the Release and not revoked Employee’s acceptance of the Release within seven days after its execution.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COBRA reimbursements due under this Section shall be made by the last day of the month following the month in which the applicable premiums were paid by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 the following terms shall have the following 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 xml:space="preserve">means the Board of Directors of the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any act or omission of Employee that constitutes 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(i)material breach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(ii)Employee’s failure or refusal to perform Employee’s duties, responsibilities, and authorities under this Agreement, including, but not limited to, the failure or refusal to follow any lawful directive of the CEO,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(iii)material violation of any written employment policy or rule of the Company, which results, or is likely to result in, any material reputational, financial, or other harm to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(iv)misappropriation of any funds, property, or business opportunity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(v)illegal use or distribution of drugs or any abuse of alcohol in any manner that adversely affects Employee’s performance,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(vi)fraud upon the Company or bad faith, dishonest, or disloyal acts or omissions toward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(vii)commission, indictment, or conviction of any felony or any misdemeanor involving moral turpitude, or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(viii)other acts or omissions contrary to the best interests of the Company which has caused, or is likely to cause, material harm to them.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determines in its sole discretion that a cure is possible and appropriate, the Company shall give Employee written notice of the acts or omissions constituting Cause and no termination of this Agreement shall be for Cause unless and until Employee fails to cure such acts or omissions within 30 days following receipt </w:t>
      </w:r>
    </w:p>
    <w:p>
      <w:pPr>
        <w:pStyle w:val="TextBody"/>
        <w:bidi w:val="0"/>
        <w:spacing w:before="0" w:after="24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such written notice. If the Company determines in its sole discretion that a cure is not possible and appropriate, Employee shall have no notice or cure rights before this Agreement is terminated for Cause.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has the same meaning as assigned by the Company’s LTIP.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Change of Control Benefits</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Change of Control Payment</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CIC Effective Date</w:t>
      </w:r>
      <w:r>
        <w:rPr>
          <w:color w:val="000000"/>
        </w:rPr>
        <w:t xml:space="preserve"> </w:t>
      </w:r>
      <w:r>
        <w:rPr>
          <w:rFonts w:ascii="Times New Roman;sans-serif" w:hAnsi="Times New Roman;sans-serif"/>
          <w:b w:val="false"/>
          <w:color w:val="000000"/>
          <w:sz w:val="24"/>
        </w:rPr>
        <w:t>means the date upon which a Change of Control occurs.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exist in the event any of the following actions are taken without Employee’s consent: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 material diminution in Employee’s base salary, duties, responsibilities, or authorities;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 requirement that Employee report to an officer or employee other than the Chief Financial Officer;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color w:val="000000"/>
        </w:rPr>
        <w:t> </w:t>
      </w:r>
      <w:r>
        <w:rPr>
          <w:rFonts w:ascii="Times New Roman;sans-serif" w:hAnsi="Times New Roman;sans-serif"/>
          <w:b w:val="false"/>
          <w:color w:val="000000"/>
          <w:sz w:val="24"/>
        </w:rPr>
        <w:t>a material relocation of Employee’s primary work location more than 50 miles away from the Company’s corporate headquarters;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(iv)any other action or inaction by the Company that constitutes a material breach of its obligations under this Agreement. </w:t>
      </w:r>
    </w:p>
    <w:p>
      <w:pPr>
        <w:pStyle w:val="TextBody"/>
        <w:bidi w:val="0"/>
        <w:spacing w:lineRule="auto" w:line="288" w:before="0" w:after="240"/>
        <w:jc w:val="both"/>
        <w:rPr/>
      </w:pPr>
      <w:r>
        <w:rPr>
          <w:rFonts w:ascii="Times New Roman;sans-serif" w:hAnsi="Times New Roman;sans-serif"/>
          <w:b w:val="false"/>
          <w:color w:val="000000"/>
          <w:sz w:val="24"/>
        </w:rPr>
        <w:t xml:space="preserve">To exercise the right to terminate for Good Reason, Employee must provide written notice to the Company of Employee’s belief that Good Reason exists within 90 days of the initial existence of the condition(s) giving rise to Good Reason, and that notice shall describe the condition(s) believed to constitute Good Reason. The Company shall have 30 days to remedy the Good Reason condition(s). If not remedied within that 30-day period, Employee may terminate this Agreement;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xml:space="preserve">, that such termination must occur no later than 180 days after the date of the initial existence of the condition(s) giving rise to the Good Reason; </w:t>
      </w:r>
      <w:r>
        <w:rPr>
          <w:rFonts w:ascii="Times New Roman;sans-serif" w:hAnsi="Times New Roman;sans-serif"/>
          <w:b w:val="false"/>
          <w:i/>
          <w:color w:val="000000"/>
          <w:sz w:val="24"/>
          <w:u w:val="single"/>
        </w:rPr>
        <w:t>otherwise</w:t>
      </w:r>
      <w:r>
        <w:rPr>
          <w:rFonts w:ascii="Times New Roman;sans-serif" w:hAnsi="Times New Roman;sans-serif"/>
          <w:b w:val="false"/>
          <w:color w:val="000000"/>
          <w:sz w:val="24"/>
        </w:rPr>
        <w:t>, Employee shall be deemed to have accepted the condition(s), or the Company’s correction of such condition(s), that may have given rise to the existence of Good Reason.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LTIP</w:t>
      </w:r>
      <w:r>
        <w:rPr>
          <w:color w:val="000000"/>
        </w:rPr>
        <w:t xml:space="preserve"> </w:t>
      </w:r>
      <w:r>
        <w:rPr>
          <w:rFonts w:ascii="Times New Roman;sans-serif" w:hAnsi="Times New Roman;sans-serif"/>
          <w:b w:val="false"/>
          <w:color w:val="000000"/>
          <w:sz w:val="24"/>
        </w:rPr>
        <w:t>shall mean the Company’s 2022 Omnibus Incentive Plan (as it may be amended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Protection Period</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shall have the meaning set forth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Miscellaneous</w:t>
      </w:r>
    </w:p>
    <w:p>
      <w:pPr>
        <w:pStyle w:val="TextBody"/>
        <w:bidi w:val="0"/>
        <w:spacing w:before="0" w:after="24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have the right to withhold from the Change of Control Benefits any federal, state, or local income and/or payroll taxes required by law to be withheld and to take such other action as the Company deems advisable to enable the Company and Employee to satisfy obligations for the payment of withholding taxes and other tax obligations relating to the Change of Control Benefits.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 Right to Continued Employment</w:t>
      </w:r>
      <w:r>
        <w:rPr>
          <w:rFonts w:ascii="Times New Roman;sans-serif" w:hAnsi="Times New Roman;sans-serif"/>
          <w:b w:val="false"/>
          <w:color w:val="000000"/>
          <w:sz w:val="24"/>
        </w:rPr>
        <w:t>. Nothing in this Agreement confers on Employee any right to continued employment with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Any modification to or waiver of this Agreement shall be effective only if it is in writing and signed by the parties to this Agreement. Notwithstanding the previous sentence, the Company may modify or amend this Agreement in its sole discretion at any time without the further consent of Employee in any manner necessary to comply with applicable law and regulations or the listing or other requirements of any stock exchange upon which the Company is listed.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This Agreement and all rights hereunder are personal to Employee and shall not be assignable by Employee;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xml:space="preserve">, that any amounts that shall have become payable under this Agreement prior to Employee’s death shall inure to the benefit of Employee’s heirs or other legal representatives, as the case may be. This Agreement shall be binding upon and inure to the benefit of the Company and any successor of the Company. The Company shall require any successor to all or substantially all of the business and/or assets of the Company to expressly assume and agree to perform this Agreement in the same manner and to the same extent that the Company would be required to perform if no succession had taken place. In the event a successor does not assume this Agreement, the benefits payable pursuant to this Agreement will be paid immediately prior to the Change of Control.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Except as otherwise specifically provided herein, this Agreement constitutes the entire agreement between the parties respecting the subject matter hereof and supersedes any prior agreements respecting severance benefits following a Change of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Governing Law; Venue</w:t>
      </w:r>
      <w:r>
        <w:rPr>
          <w:rFonts w:ascii="Times New Roman;sans-serif" w:hAnsi="Times New Roman;sans-serif"/>
          <w:b w:val="false"/>
          <w:color w:val="000000"/>
          <w:sz w:val="24"/>
        </w:rPr>
        <w:t>. This Agreement shall be governed by the laws of the State of Texas, without regard to its conflict-of-laws principles. The parties hereby irrevocably consent to the binding and exclusive venue for any dispute, controversy, claim, or cause of action between them arising out of or related to this Agreement being in the state or federal court of competent jurisdiction that regularly conducts proceedings or has jurisdiction Dallas County, Texas. Nothing in this Agreement, however, precludes either party from seeking to remove a civil action from any state court to federal court.</w:t>
      </w:r>
    </w:p>
    <w:p>
      <w:pPr>
        <w:pStyle w:val="TextBody"/>
        <w:bidi w:val="0"/>
        <w:spacing w:before="0" w:after="24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shall be deemed an original and all of which together shall be considered one and the same agreement. The delivery of this Agreement in the form of a clearly legible facsimile or electronically scanned version by e-mail shall have the same force and effect as delivery of the originally executed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Notwithstanding any provision of this Agreement to the contrary, all provisions of this Agreement are intended to comply with Section 409A of the Internal Revenue Code of 1986, as amended, and the applicable regulations and administrative guidance issued thereunder (collectively,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Employee’s employment shall only be made if such termination of employment constitutes a “separation from service” under Section 409A. Notwithstanding any provision in this Agreement to the contrary, if any payment or benefit provided for herein would be subject to additional taxes and interest under Section 409A if Employee’s receipt of such payment or benefit is not delayed until the earlier of (A) the date of Employee’s death or (B) the date that is six months after the date of Employee’s termination (such date, the “</w:t>
      </w:r>
      <w:r>
        <w:rPr>
          <w:rFonts w:ascii="Times New Roman;sans-serif" w:hAnsi="Times New Roman;sans-serif"/>
          <w:b w:val="false"/>
          <w:color w:val="000000"/>
          <w:sz w:val="24"/>
          <w:u w:val="single"/>
        </w:rPr>
        <w:t>Section 409A Payment Date</w:t>
      </w:r>
      <w:r>
        <w:rPr>
          <w:color w:val="000000"/>
        </w:rPr>
        <w:t>”</w:t>
      </w:r>
      <w:r>
        <w:rPr>
          <w:rFonts w:ascii="Times New Roman;sans-serif" w:hAnsi="Times New Roman;sans-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the Company be liable for all or any portion of any taxes, penalties, interest or other expenses that may be incurred by Employee on account of non-compliance with Section 409A.</w:t>
      </w:r>
    </w:p>
    <w:p>
      <w:pPr>
        <w:pStyle w:val="TextBody"/>
        <w:bidi w:val="0"/>
        <w:spacing w:lineRule="auto" w:line="288"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AGREED as of the dates signed below:</w:t>
      </w:r>
    </w:p>
    <w:p>
      <w:pPr>
        <w:pStyle w:val="TextBody"/>
        <w:bidi w:val="0"/>
        <w:spacing w:lineRule="auto" w:line="288" w:before="0" w:after="0"/>
        <w:jc w:val="left"/>
        <w:rPr/>
      </w:pPr>
      <w:r>
        <w:rPr>
          <w:rFonts w:ascii="Times New Roman;sans-serif" w:hAnsi="Times New Roman;sans-serif"/>
          <w:b w:val="false"/>
          <w:color w:val="000000"/>
          <w:sz w:val="24"/>
        </w:rPr>
        <w:t>GRANITE RIDGE RESOURCES, INC.    EMPLOYEE</w:t>
        <w:br/>
        <w:br/>
        <w:br/>
        <w:t>By:    </w:t>
      </w:r>
      <w:r>
        <w:rPr>
          <w:rFonts w:ascii="Times New Roman;sans-serif" w:hAnsi="Times New Roman;sans-serif"/>
          <w:b w:val="false"/>
          <w:color w:val="000000"/>
          <w:sz w:val="24"/>
          <w:u w:val="single"/>
        </w:rPr>
        <w:t>/s/ Luke C. Brandenberg    </w:t>
      </w: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Kimberly A. Weimer    </w:t>
        <w:br/>
      </w:r>
      <w:r>
        <w:rPr>
          <w:color w:val="000000"/>
        </w:rPr>
        <w:t>    </w:t>
      </w:r>
      <w:r>
        <w:rPr>
          <w:rFonts w:ascii="Times New Roman;sans-serif" w:hAnsi="Times New Roman;sans-serif"/>
          <w:b w:val="false"/>
          <w:color w:val="000000"/>
          <w:sz w:val="24"/>
        </w:rPr>
        <w:t>Name:    Luke Brandenberg        Kimberly Weimer</w:t>
        <w:br/>
        <w:t>    Title:    CEO</w:t>
        <w:br/>
        <w:br/>
        <w:t>Date Signed: March 11, 2024        Date Signed: March 11, 2024</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84" w:type="dxa"/>
        <w:jc w:val="left"/>
        <w:tblInd w:w="0" w:type="dxa"/>
        <w:tblLayout w:type="fixed"/>
        <w:tblCellMar>
          <w:top w:w="28" w:type="dxa"/>
          <w:left w:w="28" w:type="dxa"/>
          <w:bottom w:w="28" w:type="dxa"/>
          <w:right w:w="28" w:type="dxa"/>
        </w:tblCellMar>
      </w:tblPr>
      <w:tblGrid>
        <w:gridCol w:w="629"/>
        <w:gridCol w:w="553"/>
        <w:gridCol w:w="558"/>
        <w:gridCol w:w="234"/>
        <w:gridCol w:w="234"/>
        <w:gridCol w:w="236"/>
        <w:gridCol w:w="948"/>
        <w:gridCol w:w="948"/>
        <w:gridCol w:w="134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629"/>
        <w:gridCol w:w="553"/>
        <w:gridCol w:w="558"/>
        <w:gridCol w:w="234"/>
        <w:gridCol w:w="234"/>
        <w:gridCol w:w="236"/>
        <w:gridCol w:w="838"/>
        <w:gridCol w:w="838"/>
        <w:gridCol w:w="1189"/>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Granite Ridge Resources, Inc., (the “Company”) on Form 10-Q for the period ended March 31, 2024, as filed with the United States Securities and Exchange Commission on the date hereof, (the “Report”), the undersigned officers of the Company hereby certify, pursuant to 18 U.S.C. Section 1350, as adopted pursuant to Section 906 of the Sarbanes-Oxley Act of 2002, that to the best of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608" w:type="dxa"/>
        <w:jc w:val="left"/>
        <w:tblInd w:w="0" w:type="dxa"/>
        <w:tblLayout w:type="fixed"/>
        <w:tblCellMar>
          <w:top w:w="28" w:type="dxa"/>
          <w:left w:w="28" w:type="dxa"/>
          <w:bottom w:w="28" w:type="dxa"/>
          <w:right w:w="28" w:type="dxa"/>
        </w:tblCellMar>
      </w:tblPr>
      <w:tblGrid>
        <w:gridCol w:w="629"/>
        <w:gridCol w:w="553"/>
        <w:gridCol w:w="558"/>
        <w:gridCol w:w="134"/>
        <w:gridCol w:w="134"/>
        <w:gridCol w:w="136"/>
        <w:gridCol w:w="408"/>
        <w:gridCol w:w="408"/>
        <w:gridCol w:w="408"/>
        <w:gridCol w:w="945"/>
        <w:gridCol w:w="945"/>
        <w:gridCol w:w="135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hyperlink" Target="https://www.sec.gov/Archives/edgar/data/1928446/000155837023004735/grnt-20221231xex4d1.htm" TargetMode="External"/><Relationship Id="rId5" Type="http://schemas.openxmlformats.org/officeDocument/2006/relationships/hyperlink" Target="https://www.sec.gov/Archives/edgar/data/1928446/000119312522242166/d336730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24388</Words>
  <Characters>134840</Characters>
  <CharactersWithSpaces>158014</CharactersWithSpaces>
  <Paragraphs>2162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