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01"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5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55"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340" w:hanging="314"/>
        <w:spacing w:after="0"/>
        <w:tabs>
          <w:tab w:leader="none" w:pos="34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_______</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001-41537</w:t>
      </w:r>
    </w:p>
    <w:p>
      <w:pPr>
        <w:spacing w:after="0" w:line="1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9"/>
          <w:szCs w:val="29"/>
          <w:color w:val="auto"/>
        </w:rPr>
        <w:t>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GRANITE RIDGE RESOURCES,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Exact Name of Registrant as Specified in Its Charter</w:t>
      </w:r>
      <w:r>
        <w:rPr>
          <w:rFonts w:ascii="Times New Roman" w:cs="Times New Roman" w:eastAsia="Times New Roman" w:hAnsi="Times New Roman"/>
          <w:sz w:val="14"/>
          <w:szCs w:val="14"/>
          <w:color w:val="auto"/>
        </w:rPr>
        <w:t xml:space="preserve"> )</w:t>
      </w:r>
    </w:p>
    <w:p>
      <w:pPr>
        <w:spacing w:after="0" w:line="1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9"/>
          <w:szCs w:val="29"/>
          <w:color w:val="auto"/>
        </w:rPr>
        <w:t>___________________________________</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900" w:type="dxa"/>
            <w:vAlign w:val="bottom"/>
            <w:gridSpan w:val="3"/>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w w:val="99"/>
              </w:rPr>
              <w:t>1311</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88-2227812</w:t>
            </w:r>
          </w:p>
        </w:tc>
      </w:tr>
      <w:tr>
        <w:trPr>
          <w:trHeight w:val="203"/>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3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485"/>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5217 McKinney Ave, Suite 400</w:t>
            </w:r>
          </w:p>
        </w:tc>
        <w:tc>
          <w:tcPr>
            <w:tcW w:w="3820" w:type="dxa"/>
            <w:vAlign w:val="bottom"/>
          </w:tcPr>
          <w:p>
            <w:pPr>
              <w:spacing w:after="0"/>
              <w:rPr>
                <w:sz w:val="24"/>
                <w:szCs w:val="24"/>
                <w:color w:val="auto"/>
              </w:rPr>
            </w:pPr>
          </w:p>
        </w:tc>
      </w:tr>
      <w:tr>
        <w:trPr>
          <w:trHeight w:val="190"/>
        </w:trPr>
        <w:tc>
          <w:tcPr>
            <w:tcW w:w="3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Dallas, TX 75205</w:t>
            </w:r>
          </w:p>
        </w:tc>
        <w:tc>
          <w:tcPr>
            <w:tcW w:w="3820" w:type="dxa"/>
            <w:vAlign w:val="bottom"/>
          </w:tcPr>
          <w:p>
            <w:pPr>
              <w:spacing w:after="0"/>
              <w:rPr>
                <w:sz w:val="16"/>
                <w:szCs w:val="16"/>
                <w:color w:val="auto"/>
              </w:rPr>
            </w:pPr>
          </w:p>
        </w:tc>
      </w:tr>
      <w:tr>
        <w:trPr>
          <w:trHeight w:val="283"/>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8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820" w:type="dxa"/>
            <w:vAlign w:val="bottom"/>
          </w:tcPr>
          <w:p>
            <w:pPr>
              <w:spacing w:after="0"/>
              <w:rPr>
                <w:sz w:val="24"/>
                <w:szCs w:val="24"/>
                <w:color w:val="auto"/>
              </w:rPr>
            </w:pPr>
          </w:p>
        </w:tc>
      </w:tr>
      <w:tr>
        <w:trPr>
          <w:trHeight w:val="270"/>
        </w:trPr>
        <w:tc>
          <w:tcPr>
            <w:tcW w:w="3800" w:type="dxa"/>
            <w:vAlign w:val="bottom"/>
          </w:tcPr>
          <w:p>
            <w:pPr>
              <w:spacing w:after="0"/>
              <w:rPr>
                <w:sz w:val="23"/>
                <w:szCs w:val="23"/>
                <w:color w:val="auto"/>
              </w:rPr>
            </w:pPr>
          </w:p>
        </w:tc>
        <w:tc>
          <w:tcPr>
            <w:tcW w:w="2900" w:type="dxa"/>
            <w:vAlign w:val="bottom"/>
            <w:gridSpan w:val="3"/>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(214) 396-2850</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20" w:type="dxa"/>
            <w:vAlign w:val="bottom"/>
          </w:tcPr>
          <w:p>
            <w:pPr>
              <w:spacing w:after="0"/>
              <w:rPr>
                <w:sz w:val="23"/>
                <w:szCs w:val="23"/>
                <w:color w:val="auto"/>
              </w:rPr>
            </w:pPr>
          </w:p>
        </w:tc>
      </w:tr>
      <w:tr>
        <w:trPr>
          <w:trHeight w:val="271"/>
        </w:trPr>
        <w:tc>
          <w:tcPr>
            <w:tcW w:w="3800" w:type="dxa"/>
            <w:vAlign w:val="bottom"/>
          </w:tcPr>
          <w:p>
            <w:pPr>
              <w:spacing w:after="0"/>
              <w:rPr>
                <w:sz w:val="23"/>
                <w:szCs w:val="23"/>
                <w:color w:val="auto"/>
              </w:rPr>
            </w:pPr>
          </w:p>
        </w:tc>
        <w:tc>
          <w:tcPr>
            <w:tcW w:w="36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820" w:type="dxa"/>
            <w:vAlign w:val="bottom"/>
          </w:tcPr>
          <w:p>
            <w:pPr>
              <w:spacing w:after="0"/>
              <w:rPr>
                <w:sz w:val="23"/>
                <w:szCs w:val="23"/>
                <w:color w:val="auto"/>
              </w:rPr>
            </w:pPr>
          </w:p>
        </w:tc>
      </w:tr>
      <w:tr>
        <w:trPr>
          <w:trHeight w:val="188"/>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r>
      <w:tr>
        <w:trPr>
          <w:trHeight w:val="391"/>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45"/>
        </w:trPr>
        <w:tc>
          <w:tcPr>
            <w:tcW w:w="380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82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186"/>
        </w:trPr>
        <w:tc>
          <w:tcPr>
            <w:tcW w:w="3800" w:type="dxa"/>
            <w:vAlign w:val="bottom"/>
          </w:tcPr>
          <w:p>
            <w:pPr>
              <w:jc w:val="center"/>
              <w:ind w:left="588"/>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color w:val="auto"/>
              </w:rPr>
              <w:t>GRNT</w:t>
            </w:r>
          </w:p>
        </w:tc>
        <w:tc>
          <w:tcPr>
            <w:tcW w:w="382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98"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202"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both"/>
        <w:spacing w:after="0" w:line="342" w:lineRule="auto"/>
        <w:rPr>
          <w:sz w:val="20"/>
          <w:szCs w:val="20"/>
          <w:color w:val="auto"/>
        </w:rPr>
      </w:pPr>
      <w:r>
        <w:rPr>
          <w:rFonts w:ascii="Times New Roman" w:cs="Times New Roman" w:eastAsia="Times New Roman" w:hAnsi="Times New Roman"/>
          <w:sz w:val="14"/>
          <w:szCs w:val="14"/>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47"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207" w:lineRule="exact"/>
        <w:rPr>
          <w:sz w:val="24"/>
          <w:szCs w:val="24"/>
          <w:color w:val="auto"/>
        </w:rPr>
      </w:pPr>
    </w:p>
    <w:p>
      <w:pPr>
        <w:sectPr>
          <w:pgSz w:w="11900" w:h="16838" w:orient="portrait"/>
          <w:cols w:equalWidth="0" w:num="8">
            <w:col w:w="1740" w:space="460"/>
            <w:col w:w="420" w:space="720"/>
            <w:col w:w="960" w:space="480"/>
            <w:col w:w="440" w:space="720"/>
            <w:col w:w="1220" w:space="500"/>
            <w:col w:w="400" w:space="720"/>
            <w:col w:w="1560" w:space="560"/>
            <w:col w:w="340"/>
          </w:cols>
          <w:pgMar w:left="320" w:top="229" w:right="339" w:bottom="1440" w:gutter="0" w:footer="0" w:header="0"/>
          <w:type w:val="continuous"/>
        </w:sect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388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At November 4, 2024, there were 130,743,952 shares of our common stock, par value $0.0001,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may make "forward-looking statements," within the meaning of Section 27A of the Securities Act of 1933, as amended (the "Securities Act"), and Section 21E of the Securities Exchange Act of 1934, as amended (the "Exchange Act"), to inform existing and potential security holders about our company. All statements other than statements of historical facts included in this Quarterly Report on Form 10-Q (this "Report"), including, without limitation, statements regarding our financial position, operating and financial performance,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inherent risks and uncertainties, and important factors (many of which are beyond our company’s control) that could cause actual results to differ materially from those set forth in the forward-looking statements, including the following:</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or future commodity prices and interest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constraints and related factors affecting our properties;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additional development opportunities and potential or pending acquisition transactions, as well as the effects of such acquisitions on our company’s cash position and levels of indebtedness;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reserves estimates or the value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including, but not limited to, the pace of drilling and completions activity on our properties;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Granite Ridge competes;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legislation, or regulations, including those relating to environmental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cyber-related risks;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reserve estimates depend on many assumptions that may turn out to be inaccurate and that any material inaccuracies in reserve estimates or underlying assumptions will materially affect the quantities and present value of our reserves;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and trading of Granite Ridge’s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terrorism or uncertainty regarding the effects and duration of global hostilities, including the Israel-Hamas conflict, the Russia-Ukraine war, continued instability in the Middle East, including from the Houthi rebels in Yemen, and any associated armed conflicts or related sanctions which may disrupt commodity prices and create instability in the financial markets;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global, regulatory, technical, and economic factors beyond Granite Ridge’s control, including the potential adverse effects of world health events, such as the COVID-19 pandemic, affecting capital markets, general economic conditions, global supply chains and Granite Ridge’s business and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and investor emphasis on, and attention to, environmental, social, and governance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 over financial reporting;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our Annual Report on Form 10-K for the year ended December 31, 2023 (the "2023 Form 10-K") under “Risk Factors,” as updated by any subsequent Quarterly Reports on Form 10-Q, including this Report, which we file with the United States Securities and Exchange Commission (“SEC”).</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If one or more of these risks or uncertainties materialize, or if the underlying assumptions prove incorrect, our actual results may vary materially from those expected or projected.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Reserve engineering is a process of estimating underground accumulations of natural gas and oil that cannot be measured in an exact manner. The accuracy of any reserve estimate depends on the quality of available data, the interpretation of such data, and the price and cost assumptions made by reservoir engineers. In addition, the results of drilling, testing and production activities, or changes in commodity prices, may justify revisions of estimates that were made previously. If significant, such revisions would change the schedule of any further production and development drilling. Accordingly, reserve estimates may differ significantly from the quantities of natural gas and oil that are ultimately recovered.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statements in “Item 1A. Risk Factors” of our 2023 Form 10-K and other sections of this Report, which describe factors that could cause our actual results to differ from those set forth in the forward-looking statements. Forward-looking statements speak only as of the date they are made. Our company does not undertake, and specifically disclaims, any obligation to update any forward-looking statements to reflect events or circumstances occurring after the date of such statements, other than as may be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047"/>
        </w:trPr>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8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Pr>
          <w:p>
            <w:pPr>
              <w:spacing w:after="0"/>
              <w:rPr>
                <w:sz w:val="15"/>
                <w:szCs w:val="15"/>
                <w:color w:val="auto"/>
              </w:rPr>
            </w:pPr>
          </w:p>
        </w:tc>
        <w:tc>
          <w:tcPr>
            <w:tcW w:w="9940" w:type="dxa"/>
            <w:vAlign w:val="bottom"/>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2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r>
      <w:tr>
        <w:trPr>
          <w:trHeight w:val="209"/>
        </w:trPr>
        <w:tc>
          <w:tcPr>
            <w:tcW w:w="20" w:type="dxa"/>
            <w:vAlign w:val="bottom"/>
          </w:tcPr>
          <w:p>
            <w:pPr>
              <w:spacing w:after="0"/>
              <w:rPr>
                <w:sz w:val="18"/>
                <w:szCs w:val="18"/>
                <w:color w:val="auto"/>
              </w:rPr>
            </w:pPr>
          </w:p>
        </w:tc>
        <w:tc>
          <w:tcPr>
            <w:tcW w:w="29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2800" w:type="dxa"/>
            <w:vAlign w:val="bottom"/>
            <w:tcBorders>
              <w:top w:val="single" w:sz="8" w:color="0000FF"/>
            </w:tcBorders>
            <w:gridSpan w:val="10"/>
          </w:tcPr>
          <w:p>
            <w:pPr>
              <w:spacing w:after="0"/>
              <w:rPr>
                <w:sz w:val="18"/>
                <w:szCs w:val="18"/>
                <w:color w:val="auto"/>
              </w:rPr>
            </w:pPr>
          </w:p>
        </w:tc>
        <w:tc>
          <w:tcPr>
            <w:tcW w:w="4160" w:type="dxa"/>
            <w:vAlign w:val="bottom"/>
            <w:gridSpan w:val="5"/>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7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80" w:type="dxa"/>
            <w:vAlign w:val="bottom"/>
          </w:tcPr>
          <w:p>
            <w:pPr>
              <w:spacing w:after="0"/>
              <w:rPr>
                <w:sz w:val="21"/>
                <w:szCs w:val="21"/>
                <w:color w:val="auto"/>
              </w:rPr>
            </w:pPr>
          </w:p>
        </w:tc>
        <w:tc>
          <w:tcPr>
            <w:tcW w:w="3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20" w:type="dxa"/>
            <w:vAlign w:val="bottom"/>
          </w:tcPr>
          <w:p>
            <w:pPr>
              <w:spacing w:after="0"/>
              <w:rPr>
                <w:sz w:val="21"/>
                <w:szCs w:val="21"/>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tcPr>
          <w:p>
            <w:pPr>
              <w:spacing w:after="0"/>
              <w:rPr>
                <w:sz w:val="21"/>
                <w:szCs w:val="21"/>
                <w:color w:val="auto"/>
              </w:rPr>
            </w:pP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8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7"/>
              </w:rPr>
              <w:t>Item 3.</w:t>
            </w:r>
          </w:p>
        </w:tc>
        <w:tc>
          <w:tcPr>
            <w:tcW w:w="74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82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7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960" w:type="dxa"/>
            <w:vAlign w:val="bottom"/>
            <w:gridSpan w:val="3"/>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9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6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920" w:type="dxa"/>
            <w:vAlign w:val="bottom"/>
            <w:gridSpan w:val="13"/>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2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420" w:type="dxa"/>
            <w:vAlign w:val="bottom"/>
          </w:tcPr>
          <w:p>
            <w:pPr>
              <w:spacing w:after="0"/>
              <w:rPr>
                <w:sz w:val="18"/>
                <w:szCs w:val="18"/>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7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4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920" w:type="dxa"/>
            <w:vAlign w:val="bottom"/>
            <w:gridSpan w:val="2"/>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7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940" w:type="dxa"/>
            <w:vAlign w:val="bottom"/>
            <w:gridSpan w:val="10"/>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7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6500" w:type="dxa"/>
            <w:vAlign w:val="bottom"/>
            <w:gridSpan w:val="11"/>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740" w:type="dxa"/>
            <w:vAlign w:val="bottom"/>
            <w:gridSpan w:val="3"/>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660" w:type="dxa"/>
            <w:vAlign w:val="bottom"/>
            <w:gridSpan w:val="18"/>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2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par value and share data)</w:t>
            </w:r>
          </w:p>
        </w:tc>
        <w:tc>
          <w:tcPr>
            <w:tcW w:w="20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6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76"/>
        </w:trPr>
        <w:tc>
          <w:tcPr>
            <w:tcW w:w="7500" w:type="dxa"/>
            <w:vAlign w:val="bottom"/>
            <w:tcBorders>
              <w:bottom w:val="single" w:sz="8" w:color="CCEEFF"/>
            </w:tcBorders>
            <w:shd w:val="clear" w:color="auto" w:fill="CCEEFF"/>
          </w:tcPr>
          <w:p>
            <w:pPr>
              <w:ind w:left="34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r>
      <w:tr>
        <w:trPr>
          <w:trHeight w:val="193"/>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10,430</w:t>
            </w:r>
          </w:p>
        </w:tc>
      </w:tr>
      <w:tr>
        <w:trPr>
          <w:trHeight w:val="193"/>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Revenue receivable</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72,934</w:t>
            </w: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Advances to operators</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w:t>
            </w:r>
          </w:p>
        </w:tc>
      </w:tr>
      <w:tr>
        <w:trPr>
          <w:trHeight w:val="193"/>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w:t>
            </w: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assets - commodity derivatives</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11,117</w:t>
            </w:r>
          </w:p>
        </w:tc>
      </w:tr>
      <w:tr>
        <w:trPr>
          <w:trHeight w:val="193"/>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 investments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50,427</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151,552</w:t>
            </w:r>
          </w:p>
        </w:tc>
      </w:tr>
      <w:tr>
        <w:trPr>
          <w:trHeight w:val="173"/>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 and gas properties, successful efforts method</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1,492,861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1,236,683</w:t>
            </w:r>
          </w:p>
        </w:tc>
      </w:tr>
      <w:tr>
        <w:trPr>
          <w:trHeight w:val="193"/>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depletion</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(593,411)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(467,141)</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899,450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769,542</w:t>
            </w:r>
          </w:p>
        </w:tc>
      </w:tr>
      <w:tr>
        <w:trPr>
          <w:trHeight w:val="173"/>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assets:</w:t>
            </w: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assets - commodity derivatives</w:t>
            </w:r>
          </w:p>
        </w:tc>
        <w:tc>
          <w:tcPr>
            <w:tcW w:w="2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r>
      <w:tr>
        <w:trPr>
          <w:trHeight w:val="193"/>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long-term assets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w:t>
            </w:r>
          </w:p>
        </w:tc>
      </w:tr>
      <w:tr>
        <w:trPr>
          <w:trHeight w:val="18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1,035,875</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927,104</w:t>
            </w:r>
          </w:p>
        </w:tc>
      </w:tr>
      <w:tr>
        <w:trPr>
          <w:trHeight w:val="23"/>
        </w:trPr>
        <w:tc>
          <w:tcPr>
            <w:tcW w:w="7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63"/>
        </w:trPr>
        <w:tc>
          <w:tcPr>
            <w:tcW w:w="7500" w:type="dxa"/>
            <w:vAlign w:val="bottom"/>
            <w:tcBorders>
              <w:bottom w:val="single" w:sz="8" w:color="CCEEFF"/>
            </w:tcBorders>
            <w:shd w:val="clear" w:color="auto" w:fill="CCEEFF"/>
          </w:tcPr>
          <w:p>
            <w:pPr>
              <w:ind w:left="2200"/>
              <w:spacing w:after="0" w:line="15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r>
      <w:tr>
        <w:trPr>
          <w:trHeight w:val="193"/>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83,231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60,875</w:t>
            </w:r>
          </w:p>
        </w:tc>
      </w:tr>
      <w:tr>
        <w:trPr>
          <w:trHeight w:val="193"/>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62,079</w:t>
            </w:r>
          </w:p>
        </w:tc>
      </w:tr>
      <w:tr>
        <w:trPr>
          <w:trHeight w:val="173"/>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r>
      <w:tr>
        <w:trPr>
          <w:trHeight w:val="193"/>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Derivative liabilities - commodity derivatives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9,391</w:t>
            </w:r>
          </w:p>
        </w:tc>
      </w:tr>
      <w:tr>
        <w:trPr>
          <w:trHeight w:val="193"/>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tax liability</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73,989</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193,380</w:t>
            </w:r>
          </w:p>
        </w:tc>
      </w:tr>
      <w:tr>
        <w:trPr>
          <w:trHeight w:val="186"/>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375,295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255,459</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76"/>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r>
      <w:tr>
        <w:trPr>
          <w:trHeight w:val="166"/>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$0.0001 par value, 431,000,000 shares authorized, 136,424,207 and 136,040,777 issued at September 30, 2024</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8"/>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December 31, 2023, respectively</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654,857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653,174</w:t>
            </w:r>
          </w:p>
        </w:tc>
      </w:tr>
      <w:tr>
        <w:trPr>
          <w:trHeight w:val="193"/>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54,782</w:t>
            </w:r>
          </w:p>
        </w:tc>
      </w:tr>
      <w:tr>
        <w:trPr>
          <w:trHeight w:val="23"/>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Treasury stock, at cost, 5,680,255 and 5,677,627 shares at September 30, 2024 and December 31, 2023,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(36,325)</w:t>
            </w:r>
          </w:p>
        </w:tc>
      </w:tr>
      <w:tr>
        <w:trPr>
          <w:trHeight w:val="186"/>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660,580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671,645</w:t>
            </w:r>
          </w:p>
        </w:tc>
      </w:tr>
      <w:tr>
        <w:trPr>
          <w:trHeight w:val="23"/>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1,035,875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927,104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 share data)</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Oil and natural gas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108,404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273,723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287,271</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operating expenses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45,113</w:t>
            </w: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0" w:type="dxa"/>
            <w:vAlign w:val="bottom"/>
          </w:tcPr>
          <w:p>
            <w:pPr>
              <w:spacing w:after="0"/>
              <w:rPr>
                <w:sz w:val="1"/>
                <w:szCs w:val="1"/>
                <w:color w:val="auto"/>
              </w:rPr>
            </w:pPr>
          </w:p>
        </w:tc>
      </w:tr>
      <w:tr>
        <w:trPr>
          <w:trHeight w:val="250"/>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Depletion and accretion expense</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113,088</w:t>
            </w: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Impairments of unproved properties</w:t>
            </w: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expense</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(including non-cash stock-based</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compensation of $588 and $1,683 for the three and nine months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ended September 30, 2024)</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207,551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201,410</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income</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on derivatives - commodity derivatives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0" w:type="dxa"/>
            <w:vAlign w:val="bottom"/>
          </w:tcPr>
          <w:p>
            <w:pPr>
              <w:spacing w:after="0"/>
              <w:rPr>
                <w:sz w:val="1"/>
                <w:szCs w:val="1"/>
                <w:color w:val="auto"/>
              </w:rPr>
            </w:pPr>
          </w:p>
        </w:tc>
      </w:tr>
      <w:tr>
        <w:trPr>
          <w:trHeight w:val="250"/>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derivatives - common stock warrants</w:t>
            </w: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0" w:type="dxa"/>
            <w:vAlign w:val="bottom"/>
          </w:tcPr>
          <w:p>
            <w:pPr>
              <w:spacing w:after="0"/>
              <w:rPr>
                <w:sz w:val="1"/>
                <w:szCs w:val="1"/>
                <w:color w:val="auto"/>
              </w:rPr>
            </w:pPr>
          </w:p>
        </w:tc>
      </w:tr>
      <w:tr>
        <w:trPr>
          <w:trHeight w:val="250"/>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equity investments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83,628</w:t>
            </w: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63,560</w:t>
            </w:r>
          </w:p>
        </w:tc>
        <w:tc>
          <w:tcPr>
            <w:tcW w:w="0" w:type="dxa"/>
            <w:vAlign w:val="bottom"/>
          </w:tcPr>
          <w:p>
            <w:pPr>
              <w:spacing w:after="0"/>
              <w:rPr>
                <w:sz w:val="1"/>
                <w:szCs w:val="1"/>
                <w:color w:val="auto"/>
              </w:rPr>
            </w:pPr>
          </w:p>
        </w:tc>
      </w:tr>
      <w:tr>
        <w:trPr>
          <w:trHeight w:val="21"/>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50"/>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130,182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133,426</w:t>
            </w: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3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GRANITE RIDGE RESOURCES, INC. CONDENSED CONSOLIDATED STATEMENTS OF CHANGES IN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Common Stock Issued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9"/>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4"/>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0"/>
                <w:szCs w:val="10"/>
                <w:color w:val="auto"/>
              </w:rPr>
            </w:pPr>
          </w:p>
        </w:tc>
        <w:tc>
          <w:tcPr>
            <w:tcW w:w="920" w:type="dxa"/>
            <w:vAlign w:val="bottom"/>
            <w:gridSpan w:val="4"/>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120" w:type="dxa"/>
            <w:vAlign w:val="bottom"/>
            <w:gridSpan w:val="9"/>
            <w:vMerge w:val="continue"/>
          </w:tcPr>
          <w:p>
            <w:pPr>
              <w:spacing w:after="0"/>
              <w:rPr>
                <w:sz w:val="10"/>
                <w:szCs w:val="10"/>
                <w:color w:val="auto"/>
              </w:rPr>
            </w:pPr>
          </w:p>
        </w:tc>
        <w:tc>
          <w:tcPr>
            <w:tcW w:w="1280" w:type="dxa"/>
            <w:vAlign w:val="bottom"/>
            <w:gridSpan w:val="3"/>
            <w:vMerge w:val="restart"/>
          </w:tcPr>
          <w:p>
            <w:pPr>
              <w:jc w:val="right"/>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4"/>
            <w:vMerge w:val="continue"/>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00" w:type="dxa"/>
            <w:vAlign w:val="bottom"/>
            <w:gridSpan w:val="2"/>
            <w:vMerge w:val="continue"/>
          </w:tcPr>
          <w:p>
            <w:pPr>
              <w:spacing w:after="0"/>
              <w:rPr>
                <w:sz w:val="16"/>
                <w:szCs w:val="16"/>
                <w:color w:val="auto"/>
              </w:rPr>
            </w:pPr>
          </w:p>
        </w:tc>
        <w:tc>
          <w:tcPr>
            <w:tcW w:w="10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136,424</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93"/>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654,269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665,321</w:t>
            </w:r>
          </w:p>
        </w:tc>
        <w:tc>
          <w:tcPr>
            <w:tcW w:w="0" w:type="dxa"/>
            <w:vAlign w:val="bottom"/>
          </w:tcPr>
          <w:p>
            <w:pPr>
              <w:spacing w:after="0"/>
              <w:rPr>
                <w:sz w:val="1"/>
                <w:szCs w:val="1"/>
                <w:color w:val="auto"/>
              </w:rPr>
            </w:pPr>
          </w:p>
        </w:tc>
      </w:tr>
      <w:tr>
        <w:trPr>
          <w:trHeight w:val="19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dividend declared ($0.11 per share)</w:t>
            </w: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(14,383)</w:t>
            </w:r>
          </w:p>
        </w:tc>
        <w:tc>
          <w:tcPr>
            <w:tcW w:w="0" w:type="dxa"/>
            <w:vAlign w:val="bottom"/>
          </w:tcPr>
          <w:p>
            <w:pPr>
              <w:spacing w:after="0"/>
              <w:rPr>
                <w:sz w:val="1"/>
                <w:szCs w:val="1"/>
                <w:color w:val="auto"/>
              </w:rPr>
            </w:pPr>
          </w:p>
        </w:tc>
      </w:tr>
      <w:tr>
        <w:trPr>
          <w:trHeight w:val="19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9,054</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654,857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660,580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4"/>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Common Stock Issued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9"/>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3"/>
        </w:trPr>
        <w:tc>
          <w:tcPr>
            <w:tcW w:w="3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4"/>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0"/>
                <w:szCs w:val="10"/>
                <w:color w:val="auto"/>
              </w:rPr>
            </w:pPr>
          </w:p>
        </w:tc>
        <w:tc>
          <w:tcPr>
            <w:tcW w:w="900" w:type="dxa"/>
            <w:vAlign w:val="bottom"/>
            <w:gridSpan w:val="3"/>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vMerge w:val="restart"/>
          </w:tcPr>
          <w:p>
            <w:pPr>
              <w:spacing w:after="0"/>
              <w:rPr>
                <w:sz w:val="10"/>
                <w:szCs w:val="10"/>
                <w:color w:val="auto"/>
              </w:rPr>
            </w:pPr>
          </w:p>
        </w:tc>
        <w:tc>
          <w:tcPr>
            <w:tcW w:w="2120" w:type="dxa"/>
            <w:vAlign w:val="bottom"/>
            <w:gridSpan w:val="9"/>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20" w:type="dxa"/>
            <w:vAlign w:val="bottom"/>
            <w:tcBorders>
              <w:bottom w:val="single" w:sz="8" w:color="auto"/>
            </w:tcBorders>
            <w:vMerge w:val="continue"/>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135,949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609,909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652,325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0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 dividend declared ($0.11 per share)</w:t>
            </w: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issued in warrant exchange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 issued for exercise of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610,982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182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 Issued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600" w:type="dxa"/>
            <w:vAlign w:val="bottom"/>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0"/>
                <w:szCs w:val="10"/>
                <w:color w:val="auto"/>
              </w:rPr>
            </w:pPr>
          </w:p>
        </w:tc>
        <w:tc>
          <w:tcPr>
            <w:tcW w:w="92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120" w:type="dxa"/>
            <w:vAlign w:val="bottom"/>
            <w:gridSpan w:val="5"/>
            <w:vMerge w:val="continue"/>
          </w:tcPr>
          <w:p>
            <w:pPr>
              <w:spacing w:after="0"/>
              <w:rPr>
                <w:sz w:val="10"/>
                <w:szCs w:val="10"/>
                <w:color w:val="auto"/>
              </w:rPr>
            </w:pPr>
          </w:p>
        </w:tc>
        <w:tc>
          <w:tcPr>
            <w:tcW w:w="1280" w:type="dxa"/>
            <w:vAlign w:val="bottom"/>
            <w:gridSpan w:val="2"/>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00" w:type="dxa"/>
            <w:vAlign w:val="bottom"/>
            <w:vMerge w:val="continue"/>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136,041</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653,174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671,645</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Grants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dividend declared ($0.33 per share)</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(43,112)</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(43,112)</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30,381</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30,381</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136,424</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42,051</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660,580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6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600" w:type="dxa"/>
            <w:vAlign w:val="bottom"/>
          </w:tcPr>
          <w:p>
            <w:pPr>
              <w:spacing w:after="0"/>
              <w:rPr>
                <w:sz w:val="14"/>
                <w:szCs w:val="14"/>
                <w:color w:val="auto"/>
              </w:rPr>
            </w:pPr>
          </w:p>
        </w:tc>
        <w:tc>
          <w:tcPr>
            <w:tcW w:w="182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 Issued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600" w:type="dxa"/>
            <w:vAlign w:val="bottom"/>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0"/>
                <w:szCs w:val="10"/>
                <w:color w:val="auto"/>
              </w:rPr>
            </w:pPr>
          </w:p>
        </w:tc>
        <w:tc>
          <w:tcPr>
            <w:tcW w:w="92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12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center"/>
              <w:ind w:right="8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00" w:type="dxa"/>
            <w:vAlign w:val="bottom"/>
            <w:vMerge w:val="continue"/>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133,295</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590,232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32,388</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622,404</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Adoption of ASU No. 2016 -13 (Note 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133,295</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590,232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32,270</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622,286</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Grants of restricted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Cancellation of vesting shares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shares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(12,345)</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dividend declared ($0.33 per share)</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(44,072)</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(44,072)</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issued in warrant exchange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17,646</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issued for exercise of warrants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63,560</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63,560</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136,054</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610,982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51,758</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650,180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63,560</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Depletion and accretion expense</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113,088</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Abandonments expense</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0" w:type="dxa"/>
            <w:vAlign w:val="bottom"/>
          </w:tcPr>
          <w:p>
            <w:pPr>
              <w:spacing w:after="0"/>
              <w:rPr>
                <w:sz w:val="1"/>
                <w:szCs w:val="1"/>
                <w:color w:val="auto"/>
              </w:rPr>
            </w:pPr>
          </w:p>
        </w:tc>
      </w:tr>
      <w:tr>
        <w:trPr>
          <w:trHeight w:val="193"/>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Impairments of unproved properties</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loss on derivatives - commodity derivatives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0" w:type="dxa"/>
            <w:vAlign w:val="bottom"/>
          </w:tcPr>
          <w:p>
            <w:pPr>
              <w:spacing w:after="0"/>
              <w:rPr>
                <w:sz w:val="1"/>
                <w:szCs w:val="1"/>
                <w:color w:val="auto"/>
              </w:rPr>
            </w:pPr>
          </w:p>
        </w:tc>
      </w:tr>
      <w:tr>
        <w:trPr>
          <w:trHeight w:val="193"/>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cash receipts from commodity derivatives</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18,830</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0" w:type="dxa"/>
            <w:vAlign w:val="bottom"/>
          </w:tcPr>
          <w:p>
            <w:pPr>
              <w:spacing w:after="0"/>
              <w:rPr>
                <w:sz w:val="1"/>
                <w:szCs w:val="1"/>
                <w:color w:val="auto"/>
              </w:rPr>
            </w:pPr>
          </w:p>
        </w:tc>
      </w:tr>
      <w:tr>
        <w:trPr>
          <w:trHeight w:val="193"/>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derivatives - common stock warrants</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5,742</w:t>
            </w:r>
          </w:p>
        </w:tc>
        <w:tc>
          <w:tcPr>
            <w:tcW w:w="0" w:type="dxa"/>
            <w:vAlign w:val="bottom"/>
          </w:tcPr>
          <w:p>
            <w:pPr>
              <w:spacing w:after="0"/>
              <w:rPr>
                <w:sz w:val="1"/>
                <w:szCs w:val="1"/>
                <w:color w:val="auto"/>
              </w:rPr>
            </w:pPr>
          </w:p>
        </w:tc>
      </w:tr>
      <w:tr>
        <w:trPr>
          <w:trHeight w:val="193"/>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loss on equity investments</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17,069</w:t>
            </w:r>
          </w:p>
        </w:tc>
        <w:tc>
          <w:tcPr>
            <w:tcW w:w="0" w:type="dxa"/>
            <w:vAlign w:val="bottom"/>
          </w:tcPr>
          <w:p>
            <w:pPr>
              <w:spacing w:after="0"/>
              <w:rPr>
                <w:sz w:val="1"/>
                <w:szCs w:val="1"/>
                <w:color w:val="auto"/>
              </w:rPr>
            </w:pPr>
          </w:p>
        </w:tc>
      </w:tr>
      <w:tr>
        <w:trPr>
          <w:trHeight w:val="193"/>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(decrease) in cash attributable to changes in operating assets and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Revenue receivable</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(10,545)</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0" w:type="dxa"/>
            <w:vAlign w:val="bottom"/>
          </w:tcPr>
          <w:p>
            <w:pPr>
              <w:spacing w:after="0"/>
              <w:rPr>
                <w:sz w:val="1"/>
                <w:szCs w:val="1"/>
                <w:color w:val="auto"/>
              </w:rPr>
            </w:pPr>
          </w:p>
        </w:tc>
      </w:tr>
      <w:tr>
        <w:trPr>
          <w:trHeight w:val="193"/>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payable</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0" w:type="dxa"/>
            <w:vAlign w:val="bottom"/>
          </w:tcPr>
          <w:p>
            <w:pPr>
              <w:spacing w:after="0"/>
              <w:rPr>
                <w:sz w:val="1"/>
                <w:szCs w:val="1"/>
                <w:color w:val="auto"/>
              </w:rPr>
            </w:pPr>
          </w:p>
        </w:tc>
      </w:tr>
      <w:tr>
        <w:trPr>
          <w:trHeight w:val="186"/>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207,536</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212,692</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 expenditures for oil and natural gas properties</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(237,138)</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oil and natural gas properties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(49,427)</w:t>
            </w:r>
          </w:p>
        </w:tc>
        <w:tc>
          <w:tcPr>
            <w:tcW w:w="0" w:type="dxa"/>
            <w:vAlign w:val="bottom"/>
          </w:tcPr>
          <w:p>
            <w:pPr>
              <w:spacing w:after="0"/>
              <w:rPr>
                <w:sz w:val="1"/>
                <w:szCs w:val="1"/>
                <w:color w:val="auto"/>
              </w:rPr>
            </w:pPr>
          </w:p>
        </w:tc>
      </w:tr>
      <w:tr>
        <w:trPr>
          <w:trHeight w:val="193"/>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 of oil and natural gas properties</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 of equity investments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Refund of advances to operators</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(233,630)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(286,505)</w:t>
            </w:r>
          </w:p>
        </w:tc>
        <w:tc>
          <w:tcPr>
            <w:tcW w:w="0" w:type="dxa"/>
            <w:vAlign w:val="bottom"/>
          </w:tcPr>
          <w:p>
            <w:pPr>
              <w:spacing w:after="0"/>
              <w:rPr>
                <w:sz w:val="1"/>
                <w:szCs w:val="1"/>
                <w:color w:val="auto"/>
              </w:rPr>
            </w:pPr>
          </w:p>
        </w:tc>
      </w:tr>
      <w:tr>
        <w:trPr>
          <w:trHeight w:val="193"/>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borrowing on credit facilities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117,500</w:t>
            </w:r>
          </w:p>
        </w:tc>
        <w:tc>
          <w:tcPr>
            <w:tcW w:w="0" w:type="dxa"/>
            <w:vAlign w:val="bottom"/>
          </w:tcPr>
          <w:p>
            <w:pPr>
              <w:spacing w:after="0"/>
              <w:rPr>
                <w:sz w:val="1"/>
                <w:szCs w:val="1"/>
                <w:color w:val="auto"/>
              </w:rPr>
            </w:pPr>
          </w:p>
        </w:tc>
      </w:tr>
      <w:tr>
        <w:trPr>
          <w:trHeight w:val="193"/>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borrowing on credit facilities</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expenses related to formation of Granite Ridge Resources, Inc.</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treasury shares</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(11,765)</w:t>
            </w:r>
          </w:p>
        </w:tc>
        <w:tc>
          <w:tcPr>
            <w:tcW w:w="0" w:type="dxa"/>
            <w:vAlign w:val="bottom"/>
          </w:tcPr>
          <w:p>
            <w:pPr>
              <w:spacing w:after="0"/>
              <w:rPr>
                <w:sz w:val="1"/>
                <w:szCs w:val="1"/>
                <w:color w:val="auto"/>
              </w:rPr>
            </w:pPr>
          </w:p>
        </w:tc>
      </w:tr>
      <w:tr>
        <w:trPr>
          <w:trHeight w:val="193"/>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dividends</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(44,072)</w:t>
            </w:r>
          </w:p>
        </w:tc>
        <w:tc>
          <w:tcPr>
            <w:tcW w:w="0" w:type="dxa"/>
            <w:vAlign w:val="bottom"/>
          </w:tcPr>
          <w:p>
            <w:pPr>
              <w:spacing w:after="0"/>
              <w:rPr>
                <w:sz w:val="1"/>
                <w:szCs w:val="1"/>
                <w:color w:val="auto"/>
              </w:rPr>
            </w:pPr>
          </w:p>
        </w:tc>
      </w:tr>
      <w:tr>
        <w:trPr>
          <w:trHeight w:val="186"/>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38,466</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29,097</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restricted cash</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(44,716)</w:t>
            </w:r>
          </w:p>
        </w:tc>
        <w:tc>
          <w:tcPr>
            <w:tcW w:w="0" w:type="dxa"/>
            <w:vAlign w:val="bottom"/>
          </w:tcPr>
          <w:p>
            <w:pPr>
              <w:spacing w:after="0"/>
              <w:rPr>
                <w:sz w:val="1"/>
                <w:szCs w:val="1"/>
                <w:color w:val="auto"/>
              </w:rPr>
            </w:pPr>
          </w:p>
        </w:tc>
      </w:tr>
      <w:tr>
        <w:trPr>
          <w:trHeight w:val="193"/>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51,133</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restricted cash at end of period</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activities: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 and natural gas property development costs in accrued expenses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(13,068)</w:t>
            </w:r>
          </w:p>
        </w:tc>
        <w:tc>
          <w:tcPr>
            <w:tcW w:w="0" w:type="dxa"/>
            <w:vAlign w:val="bottom"/>
          </w:tcPr>
          <w:p>
            <w:pPr>
              <w:spacing w:after="0"/>
              <w:rPr>
                <w:sz w:val="1"/>
                <w:szCs w:val="1"/>
                <w:color w:val="auto"/>
              </w:rPr>
            </w:pPr>
          </w:p>
        </w:tc>
      </w:tr>
      <w:tr>
        <w:trPr>
          <w:trHeight w:val="193"/>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Advances to operators applied to development of oil and natural gas properties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80,320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88,463</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restricted cash:</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6,117</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 included in other long-term assets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86"/>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restricted cash</w:t>
            </w: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23,102</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Nature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Granite Ridge Resources, Inc. (together with its consolidated subsidiaries, “Granite Ridge” or the “Company”) is a Delaware corporation, initially formed in May 2022, whose common stock is listed and traded on the New York Stock Exchange (“NYSE”). The Company was created for the purpose of the Business Combination (as defined below), and following the Business Combination, for the purpose of purchasing non-operated oil and natural gas assets in multiple basins in North America and realizing profits through participation in oil and natural gas wells.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24, 2022, the Business Combination closed and was accounted for as a reverse recapitalization and Grey Rock Energy Fund III (as defined below) was determined to be the accounting acquirer and Predecessor (as defined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2022 (the “Closing Date”), Granite Ridge and Executive Network Partnering Corporation, a Delaware corporation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Immediately prior to the closing of the Transactions, the net assets of Grey Rock Energy Fund, L.P., a Delaware limited partnership (“Fund I”),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were transferred (through various intermediary entities) to GREP (the “GREP Formation Transaction”). Fund I, Fund II and Fund III are collectively referred to herein as the “Funds”.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special meeting of ENPC stockholders held in connection with the Business Combination, of the 41,400,000 shares of ENPC Class A common stock, public stockholders of 39,343,496 shares of ENPC Class A common stock exercised their rights to have those shares redeemed for cash at a redemption price of approximately $10.07 per share, or an aggregate of approximately $396.1 million. The holders of membership interests in GREP (the “Existing GREP Members”) and their direct and indirect members were issued 130.0 million shares of Granite Ridge common stock at the closing. Upon consummation of the Business Combination, each public stockholder’s ENPC common stock and ENPC warrants were automatically converted into an equivalent number of shares of Granite Ridge common stock and Granite Ridge warrants as a result of the Transactions. At the effective time of the Mergers, (i) 495,357 shares of ENPC Class F common stock were converted to 1,238,393 shares of ENPC Class A common stock (of which an aggregate of 220,348 shares were subsequently forfeited pursuant to the terms of the Sponsor Agreement, dated as of May 16, 2022, by and among ENPC, Granite Ridge, and certain other parties thereto (the “Sponsor Agreement”)) and the remaining shares of ENPC Class F common stock outstanding were automatically cancelled for no consideration (the “ENPC Class F Conversion”) (ii) all other remaining shares of ENPC Class A common stock automatically cancelled without any conversion, payment or distribution (the “Sponsor Share Cancellation”) and (iii) all shares of ENPC Class B common stock outstanding were deemed transferred to ENPC and surrendered and forfeited for no consideration (the “ENPC Class B Contribution”). In January 2023, 220,348 of the 371,518 shares subject to vesting and forfeiture provisions under the terms of the Sponsor Agreement were forfeited.</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ENPC Class F Conversion, the Sponsor Share Cancellation, the ENPC Class B Contribution and the separation of the securities offered in ENPC’s initial public offering, which consisted of one share of Class A common stock and one-quarter of one ENPC warrant (“CAPS</w:t>
      </w:r>
      <w:r>
        <w:rPr>
          <w:rFonts w:ascii="Times New Roman" w:cs="Times New Roman" w:eastAsia="Times New Roman" w:hAnsi="Times New Roman"/>
          <w:sz w:val="8"/>
          <w:szCs w:val="8"/>
          <w:color w:val="auto"/>
        </w:rPr>
        <w:t>TM</w:t>
      </w:r>
      <w:r>
        <w:rPr>
          <w:rFonts w:ascii="Times New Roman" w:cs="Times New Roman" w:eastAsia="Times New Roman" w:hAnsi="Times New Roman"/>
          <w:sz w:val="18"/>
          <w:szCs w:val="18"/>
          <w:color w:val="auto"/>
        </w:rPr>
        <w:t xml:space="preserve"> Separation”), each share of ENPC Class A common stock outstanding was automatically converted into one share of Granite Ridge common stock. Total aggregate investment by ENPC was $6.8 million, which amount represents total risk capital contributed by ENPC, including working capital loans that were forgiven.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Exchange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24, 2022, in connection with the Business Combination, the Company issued 10,349,975 common stock warrants. On June 22, 2023, the Company completed an offer to holders of its outstanding warrants which provided such holders the opportunity to receive 0.25 shares of the Company’s common stock in exchange for each warrant tendered by such holders (the “Offer”). This Offer coincided with a solicitation of consents from holders of the warrants to amend the warrant agreement governing such warrants to permit the Company to require that each warrant that remained outstanding upon the closing of the Offer be exchanged for 0.225 shares of the Company’s common stock (together with the Offer, the “Warrant Exchange”).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 See Note 9 for further discussion of the Warrant Exchange.</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complete discussion of the Company’s significant accounting policies is included in the 2023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all other wholly owned subsidiaries created in connection with the Business Combination. References to the “Company” prior to October 24, 2022 refer to the combined business of the Funds and references after October 24, 2022 refer to the consolidated business of Granite Ridge. All intercompany balances and transactions have been eliminated in consolidation.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of America (“U.S. GAAP”). The Company operates in one operating segment, which is oil and natural gas development, exploration and production. All of our operations are conducted in the geographic area of the United States. The Company's chief operating decision maker manages operations on a consolidated basis for purposes of evaluating operations and allocating resources.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at the date of the condensed consolidated financial statements and the reported amounts of revenues and expenses during the reporting period. Significant estimates of reserves are used to determine depletion and to conduct impairment analysis. Estimating reserves is inherently uncertain, including the projection of future rates of production and the timing of development expenditures.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estimates of oil and natural gas reserves are, by necessity, projections based on geologic and engineering data, and there are uncertainties inherent in the interpretation of such data as well as the projection of future rates of production and the timing of development expenditures. Reserve engineering is a subjective process of estimating underground accumulations of oil and natural gas that are difficult to measure. The accuracy of any reserve estimate is a function of the quality of available data, engineering and geological interpretation and judgment. Estimates of economically recoverable oil and natural gas reserves and future net cash flows necessarily depend upon a number of variable factors and assumptions, such as historical production from the area compared with production from other producing areas, the assumed effect of regulations by governmental agencies, and assumptions governing future oil and natural gas prices, future operating costs, severance taxes, development costs and workover costs, all of which may in fact</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vary considerably from actual results. The future drilling costs associated with reserves assigned to proved undeveloped locations may ultimately increase to the extent that these reserves are later determined to be uneconomic. For these reasons, estimates of the economically recoverable quantities of expected oil and natural gas attributable to any particular group of properties, classifications of such reserves based on risk of recovery, and estimates of the future net cash flows may vary substantially. Any significant variance in the assumptions could materially affect the estimated quantity of the reserves, which could affect the carrying value of the Company’s oil and natural gas properties and/or the rate of depletion related to the oil and natural gas properties.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significant estimates include, but are not limited to, fair value of derivative financial instruments, fair value of equity investments, fair value of business combinations, asset retirement obligations, revenue receivable and income taxes. Actual results could differ from those estimates.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period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have not been audited by the Company’s independent registered public accounting firm, except that the condensed consolidated balance sheet at December 31, 2023 is derived from audited consolidated financial statements. In the opinion of management, the accompanying condensed consolidated financial statements reflect all adjustments necessary to present fairly the Company’s condensed consolidated financial statements. All such adjustments are of a normal, recurring nature. In preparing the accompanying condensed consolidated financial statements, management has made certain estimates and assumptions that affect reported amounts in the condensed consolidated financial statements. Actual results may differ from those estimates. The results for interim periods are not necessarily indicative of annual results.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disclosures have been condensed in or omitted from these condensed consolidated financial statements. Accordingly, these notes to the condensed consolidated financial statements should be read in conjunction with the audited consolidated financial statements and notes included in the Company’s 2023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Receivable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receivable is comprised of accrued oil and natural gas sales. The operators remit payment for production directly to the Company. In the event of complete non-performance by the Company’s customers, the maximum exposure to the Company is the outstanding revenue receivable balance at the date of non-performance. The Company monitors this exposure primarily by reviewing credit ratings, financial statements and payment history. Revenue receivables are generally unsecured and typically received from the operator one to three months after production. The Company had an allowance for expected credit losses of $0.2 million at September 30, 2024 and $0.2 million at December 31, 2023, which was based on a historical loss rate.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forecasts of future economic conditions in the estimate of its expected credit losses, in particular whether there is an increase in the probability that the Company’s counterparties are unable to pay their obligations when due, and adjusts its allowance for expected credit losses when necessary.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to Operators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participates in the drilling of oil and natural gas wells with other working interest partners. Due to the capital-intensive nature of oil and natural gas drilling activities, partner operators may request advance payments from working interest partners for their share of the costs. The Company expects such advances to be applied by these operators against joint interest billings for its share of drilling operations within 90 days from when the advance is paid. Changes in advances to operators are presented as an investing outflow within capital expenditures for oil and natural gas properties on the condensed consolidated statements of cash flows.</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 and Natural Gas Properties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the successful efforts method of accounting for oil and gas producing activities, as further defined under Accounting Standards Codification ("ASC") 932, </w:t>
      </w:r>
      <w:r>
        <w:rPr>
          <w:rFonts w:ascii="Times New Roman" w:cs="Times New Roman" w:eastAsia="Times New Roman" w:hAnsi="Times New Roman"/>
          <w:sz w:val="18"/>
          <w:szCs w:val="18"/>
          <w:i w:val="1"/>
          <w:iCs w:val="1"/>
          <w:color w:val="auto"/>
        </w:rPr>
        <w:t>Extractive Activities - Oil and Gas</w:t>
      </w:r>
      <w:r>
        <w:rPr>
          <w:rFonts w:ascii="Times New Roman" w:cs="Times New Roman" w:eastAsia="Times New Roman" w:hAnsi="Times New Roman"/>
          <w:sz w:val="18"/>
          <w:szCs w:val="18"/>
          <w:color w:val="auto"/>
        </w:rPr>
        <w:t xml:space="preserve"> (“ASC 932”). Costs to 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$43.9 million and $44.1 million for the three months ended September 30, 2024 and 2023, respectively, and $126.1 million and $112.7 million for the nine months ended September 30, 2024 and 2023, respectively.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An impairment loss is indicated if the sum of the expected undiscounted future net cash flows is less than the carrying amount of the assets. For each property determined to be impaired, an impairment loss equal to the difference between the carrying value of the properties and the estimated fair market value as determined by discounted future cash flows using a discount rate similar to that used by market participants, or comparable market value if available, is recognized at that time. Estimating future cash flows involves the use of judgments, including estimation of the proved and risk-adjusted unproved oil and natural gas reserve quantities, timing of development and production, expected future commodity prices, capital expenditures and production costs and cash flows from integrated assets. There was no proved property impairment recorded for the three or nine months ended September 30, 2024 or 2023.</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Unproved oil and natural gas properties are periodically assessed for impairment by considering future drilling and exploration plans, results of exploration activities, commodity price outlooks, planned future sales and expiration of all or a portion of the projects. The Company did not record any unproved property impairment for the three months ended September 30, 2024 but recorded unproved property impairment of $0.7 million for the nine months ended September 30, 2024 in the Permian Basin as the operator no longer intends to drill certain locations. There was no unproved property impairment recorded for the three or nine months ended September 30,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Commodity Derivatives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its derivative instruments as either assets or liabilities measured at fair value. The Company nets the fair value of the derivative instruments by counterparty in the accompanying condensed consolidated balance sheets when the right of offset exists. The Company does not have any derivatives designated as fair value or cash flow hedges.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Common Stock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Prior to the Warrant Exchange, the Company accounted for warrants as liability-classified instruments based on an assessment of the warrant’s specific terms and applicable authoritative guidance in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The warrants were required to be recorded at their initial fair value on the date of issuance and each balance sheet date thereafter.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the estimated fair value of the warrants were recognized as a non-operating gain or loss in the condensed consolidated statements of operations. For the period during which the Company’s common stock was publicly traded, the fair value of the warrants was based on quoted prices in an active market.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2023, the Company issued 2,471,738 shares of common stock in exchange for 9,887,035 warrants tendered in the Offer. In July 2023, each remaining outstanding warrant was converted into 0.225 shares of the Company’s common stock, and subsequently, no warrants remained outstanding. See Note 9 for further discussion of the Warrant Exchange.</w:t>
      </w:r>
    </w:p>
    <w:p>
      <w:pPr>
        <w:spacing w:after="0" w:line="200" w:lineRule="exact"/>
        <w:rPr>
          <w:sz w:val="20"/>
          <w:szCs w:val="20"/>
          <w:color w:val="auto"/>
        </w:rPr>
      </w:pPr>
    </w:p>
    <w:p>
      <w:pPr>
        <w:spacing w:after="0" w:line="36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Company completed the sale of certain of its Permian Basin assets to Vital Energy, Inc. ("Vital Energy") for consideration of 561,752 shares of Vital Energy's common stock and 541,155 shares of Vital Energy's 2.0% cumulative mandatorily convertible preferred securities. On June 4, 2024, the 2.0% cumulative mandatorily convertible preferred securities were converted into the equivalent number of shares of Vital Energy’s common stock. During the three months ended September 30, 2024 the Company divested 75,000 shares of Vital Energy’s common stock and realized a gain on sale of $0.1 million included in loss on equity investments within the Company’s condensed consolidated statements of operations. As of September 30, 2024, the Company held 1,027,907 shares of Vital Energy’s common stock.</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the guidance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("ASC 321") for its investment in the common and preferred stock of Vital Energy. ASC 321 requires equity investments with readily determinable fair values to be measured at fair value, with unrealized holding gains and losses recorded as a gain or loss in the condensed consolidated statements of operations. For the preferred stock that did not have a readily determinable fair value, the Company did not elect the measurement alternative in ASC 321 and instead accounted for the preferred stock at fair value with unrealized gains and losses recorded through net income for the periods until the preferred stock was converted into common stock. For the three and nine months ended September 30, 2024, an unrealized loss of $18.4 million and $19.4 million, respectively, is included in loss on equity investments within the condensed consolidated statements of operations that reflects the change in fair value of the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Performance obligations are satisfied when the customer obtains control of the product, when the Company has no further obligations to perform related to the sale, when the transaction price has been determined, and when collectability is probable.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condensed consolidated statements of operations. At the end of each month when the performance obligation is satisfied, the variable consideration can be reasonably estimated, and amounts due from customers are accrued in revenue receivable in the balance sheets. Variances between the Company’s estimated revenue and actual payments are recorded in the month the payment is received; however, differences have been and are insignificant.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Non-operated Crude Oil and Natural Gas 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proportionate share of production from non-operated properties is generally marketed at the discretion of the operators. For non-operated properties, the Company receives a net payment from the operator representing its proportionate share of sales proceeds which is net of transportation and production tax costs incurred by the operator, if any. Such non-operated revenues are recognized at the net amount of proceeds to be received by the Company during the month in which production occurs and it is probable the Company will collect the consideration it is entitled to receive. Proceeds are generally received by the Company within one to three months after the month in which production occurs.</w:t>
      </w:r>
    </w:p>
    <w:p>
      <w:pPr>
        <w:spacing w:after="0" w:line="200" w:lineRule="exact"/>
        <w:rPr>
          <w:sz w:val="20"/>
          <w:szCs w:val="20"/>
          <w:color w:val="auto"/>
        </w:rPr>
      </w:pPr>
    </w:p>
    <w:p>
      <w:pPr>
        <w:spacing w:after="0" w:line="37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Take in Kind Oil and Natural Gas Revenues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certain arrangements, the Company has the right to take a volume of processed residue gas and/or natural gas liquids (“NGLs”) in kind at the tailgate of the midstream customer’s processing plant in lieu of receiving a net payment from the operator representing its proportionate share of its natural gas production. The Company currently takes certain processed gas volumes in kind in lieu of monetary settlement but does not currently take NGL volumes in kind. When the Company elects to take volumes in kind, it pays third parties to transport the processed products it took in 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transportation expenses the Company incurs to transport the processed products to downstream customers are recorded in lease operating expenses on the condensed consolidated statements of operations.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disaggregated revenue has two primary sources: oil sales and natural gas sales. Substantially all of the Company’s oil and natural gas sales come from five geographic areas in the United States: the Eagle Ford Basin (Texas), the Permian Basin (Texas/New Mexico), the Haynesville Basin (Texas/Louisiana), the Denver-Julesburg “DJ” Basin (Colorado), and the Bakken Basin (Montana/North Dakota). The following tables present the disaggregation of the Company’s oil revenues and natural gas revenues by basin for the three and nine months ended September 30,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230,755</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56,516</w:t>
            </w: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287,271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168,920</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Eagle Ford</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Bakken</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39,124</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Haynesville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DJ</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108,404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273,723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287,271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Stock-based compensation expense is recognized in the Company’s condensed consolidated financial statements on an accelerated basis over the awards’ vesting periods based on their grant date fair values. Restricted stock awards are valued at the closing price of the Company's common stock on the date of grant. The Company utilizes the Monte Carlo simulation method to determine the fair value of certain performance stock units (“PSUs”), the Black-Scholes model for options issued at-the-money, and a binomial lattice model for other stock options. The Company recognizes forfeitures of stock-based compensation awards as they occur.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Applicable Accounting Pronouncements (Issued and Not Yet Adopted)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("ASU 2023-07") which requires public entities, including public entities with a single reportable segment, to disclose significant segment expenses and other segment items on an annual and interim basis and to provide in interim periods all disclosures about a reportable segment’s profit or loss and assets that are currently required annually. ASU 2023-07 was effective for annual periods beginning after December 15, 2023, and is effective for interim periods within fiscal years beginning after December 15, 2024. Early adoption is permitted. The Company is currently assessing the effect that ASU 2023-07 will have on its disclosures.</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 2023-09 is effective for annual periods beginning after December 15, 2024. Early adoption is permitted. The Company has not early adopted the standard and is currently assessing the effect that ASU 2023-09 will have on its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Applicable Accounting Pronouncements (Issued and Adopted)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FASB issued ASU No. 2016-13, “Financial Instruments — Credit Losses (Topic 326): Measurement of Credit Losses on Financial Instruments” which replaced the “incurred loss” methodology for recognizing credit losses with an “expected loss” methodology. This new methodology requires that a financial asset measured at amortized cost be presented at the net amount expected to be collected. This standard is intended to provide more timely decision-useful information about the expected credit losses on financial instruments. The adoption of this guidance on January 1, 2023 did not have a material impact on the Company’s condensed consolidated financial statements or related disclosures. Revenue receivables is the primary financial asset that is within the scope of the new guidance. A loss-rate method is applied to the receivables to estimate credit losses. The Company recognized a tax-effected $0.1 million non-cash cumulative effect adjustment to retained earnings on its opening consolidated balance sheet at January 1, 2023 to record an allowance for expected credit losses associated with the Company’s revenue receivables.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2022, the FASB issued ASU No. 2022-03, “Fair Value Measurement of Equity Securities Subject to Contractual Sale Restrictions,” ("ASU 2022-03") which clarifies that a contractual restriction on the sale of an equity security is not considered part of the unit of account of the equity security and, therefore, is not considered in measuring fair value. ASU 2022-03 also clarifies that an entity cannot, as a separate unit of account, recognize and measure a contractual sale restriction and requires specific disclosures for equity securities subject to contractual sale restrictions such as the fair value of equity securities subject to contractual sale restrictions, the nature and remaining duration of the restrictions and the circumstances that could cause a lapse in the restriction. ASU 2022-03 was effective for fiscal years, and interim periods within those fiscal years, beginning after December 15, 2023, with early application permitted. The adoption of ASU 2022-03 did not have a significant impact on the Company's condensed consolidated financial statements.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Derivative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speculative trading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designate its derivative instruments to qualify for hedge accounting. Accordingly, the Company reflects changes in the fair value of its derivative instruments in its condensed consolidated statements of operations as they occur.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Collar Option Contracts and Swaps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derivative financial instruments consist of collar option contracts and swaps.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swap contract allows the Company to receive a fixed price and pay a floating market price to the counterparty for the hedged commodity.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master netting agreements on individual derivative instruments with its counterparties and therefore certain amounts may be presented on a net basis in the condensed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 of Derivative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outstanding commodity derivative contracts as of September 30,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Q4 2024</w:t>
            </w: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40" w:type="dxa"/>
            <w:vAlign w:val="bottom"/>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820" w:type="dxa"/>
            <w:vAlign w:val="bottom"/>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Collar (oil)</w:t>
            </w:r>
          </w:p>
        </w:tc>
        <w:tc>
          <w:tcPr>
            <w:tcW w:w="1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(Bbl)</w:t>
            </w:r>
          </w:p>
        </w:tc>
        <w:tc>
          <w:tcPr>
            <w:tcW w:w="15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311,496</w:t>
            </w:r>
          </w:p>
        </w:tc>
        <w:tc>
          <w:tcPr>
            <w:tcW w:w="58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1,898,739</w:t>
            </w:r>
          </w:p>
        </w:tc>
        <w:tc>
          <w:tcPr>
            <w:tcW w:w="5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floor price ($/Bbl)</w:t>
            </w:r>
          </w:p>
        </w:tc>
        <w:tc>
          <w:tcPr>
            <w:tcW w:w="1540" w:type="dxa"/>
            <w:vAlign w:val="bottom"/>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ceiling price ($/Bbl)</w:t>
            </w:r>
          </w:p>
        </w:tc>
        <w:tc>
          <w:tcPr>
            <w:tcW w:w="1540" w:type="dxa"/>
            <w:vAlign w:val="bottom"/>
            <w:shd w:val="clear" w:color="auto" w:fill="CCEEFF"/>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Swaps (oil)</w:t>
            </w:r>
          </w:p>
        </w:tc>
        <w:tc>
          <w:tcPr>
            <w:tcW w:w="1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(Bbl)</w:t>
            </w:r>
          </w:p>
        </w:tc>
        <w:tc>
          <w:tcPr>
            <w:tcW w:w="15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128,277</w:t>
            </w:r>
          </w:p>
        </w:tc>
        <w:tc>
          <w:tcPr>
            <w:tcW w:w="58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price ($/Bbl)</w:t>
            </w:r>
          </w:p>
        </w:tc>
        <w:tc>
          <w:tcPr>
            <w:tcW w:w="1540" w:type="dxa"/>
            <w:vAlign w:val="bottom"/>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Collar (natural gas)</w:t>
            </w:r>
          </w:p>
        </w:tc>
        <w:tc>
          <w:tcPr>
            <w:tcW w:w="15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 (Mcf)</w:t>
            </w:r>
          </w:p>
        </w:tc>
        <w:tc>
          <w:tcPr>
            <w:tcW w:w="1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1,899,000</w:t>
            </w:r>
          </w:p>
        </w:tc>
        <w:tc>
          <w:tcPr>
            <w:tcW w:w="5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9,439,829</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7,650,176</w:t>
            </w:r>
          </w:p>
        </w:tc>
        <w:tc>
          <w:tcPr>
            <w:tcW w:w="0" w:type="dxa"/>
            <w:vAlign w:val="bottom"/>
          </w:tcPr>
          <w:p>
            <w:pPr>
              <w:spacing w:after="0"/>
              <w:rPr>
                <w:sz w:val="1"/>
                <w:szCs w:val="1"/>
                <w:color w:val="auto"/>
              </w:rPr>
            </w:pPr>
          </w:p>
        </w:tc>
      </w:tr>
      <w:tr>
        <w:trPr>
          <w:trHeight w:val="26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floor price ($/Mcf)</w:t>
            </w:r>
          </w:p>
        </w:tc>
        <w:tc>
          <w:tcPr>
            <w:tcW w:w="1540" w:type="dxa"/>
            <w:vAlign w:val="bottom"/>
            <w:shd w:val="clear" w:color="auto" w:fill="CCEEFF"/>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5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ceiling price ($/Mcf)</w:t>
            </w:r>
          </w:p>
        </w:tc>
        <w:tc>
          <w:tcPr>
            <w:tcW w:w="1540" w:type="dxa"/>
            <w:vAlign w:val="bottom"/>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6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Swaps (natural gas)</w:t>
            </w:r>
          </w:p>
        </w:tc>
        <w:tc>
          <w:tcPr>
            <w:tcW w:w="15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 (Mcf)</w:t>
            </w:r>
          </w:p>
        </w:tc>
        <w:tc>
          <w:tcPr>
            <w:tcW w:w="1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1,895,588</w:t>
            </w:r>
          </w:p>
        </w:tc>
        <w:tc>
          <w:tcPr>
            <w:tcW w:w="5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2,585,050</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656,000</w:t>
            </w:r>
          </w:p>
        </w:tc>
        <w:tc>
          <w:tcPr>
            <w:tcW w:w="0" w:type="dxa"/>
            <w:vAlign w:val="bottom"/>
          </w:tcPr>
          <w:p>
            <w:pPr>
              <w:spacing w:after="0"/>
              <w:rPr>
                <w:sz w:val="1"/>
                <w:szCs w:val="1"/>
                <w:color w:val="auto"/>
              </w:rPr>
            </w:pPr>
          </w:p>
        </w:tc>
      </w:tr>
      <w:tr>
        <w:trPr>
          <w:trHeight w:val="26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price ($/Mcf)</w:t>
            </w:r>
          </w:p>
        </w:tc>
        <w:tc>
          <w:tcPr>
            <w:tcW w:w="1540" w:type="dxa"/>
            <w:vAlign w:val="bottom"/>
            <w:shd w:val="clear" w:color="auto" w:fill="CCEEFF"/>
          </w:tcPr>
          <w:p>
            <w:pPr>
              <w:jc w:val="right"/>
              <w:ind w:right="13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reported in the condensed consolidated statements of operations related to the commodity derivative instruments for the three and nine months ended September 30,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commodity derivatives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derivatives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8"/>
              </w:rPr>
              <w:t>(9,808)</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derivatives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1,679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0" w:type="dxa"/>
            <w:vAlign w:val="bottom"/>
          </w:tcPr>
          <w:p>
            <w:pPr>
              <w:spacing w:after="0"/>
              <w:rPr>
                <w:sz w:val="1"/>
                <w:szCs w:val="1"/>
                <w:color w:val="auto"/>
              </w:rPr>
            </w:pPr>
          </w:p>
        </w:tc>
      </w:tr>
      <w:tr>
        <w:trPr>
          <w:trHeight w:val="244"/>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8"/>
              </w:rPr>
              <w:t>(8,129)</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net cash receipts from commodity derivatives for the three and nine months ended September 30,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receipts from commodity derivatives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derivatives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derivatives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0" w:type="dxa"/>
            <w:vAlign w:val="bottom"/>
          </w:tcPr>
          <w:p>
            <w:pPr>
              <w:spacing w:after="0"/>
              <w:rPr>
                <w:sz w:val="1"/>
                <w:szCs w:val="1"/>
                <w:color w:val="auto"/>
              </w:rPr>
            </w:pPr>
          </w:p>
        </w:tc>
      </w:tr>
      <w:tr>
        <w:trPr>
          <w:trHeight w:val="244"/>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2022, in connection with the Business Combination, the Company issued 10,349,975 common stock warrants. Each warrant entitled the holder to purchase one share of Granite Ridge’s common stock at an exercise price of $11.50 per share. The common stock warrants became exercisable 30 days after the completion of the Business Combination and 461 common stock warrants were exercised during the period they were outstanding.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recorded a loss of $5.7 million during the nine months ended September 30, 2023 from the change in fair value of the warrant liability in the condensed consolidated statements of operations.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 The warrants exchanged in the Offer were marked to fair value on the date of settlement, and the liability of $17.0 million and $0.7 million related to the exchanged common stock warrants was removed from the condensed consolidated balance sheet in June 2023 and July 2023, respectively, and the issuance of shares of the Company’s common stock was reflected in stockholders’ equity. See Note 9 for further discussion of the Warrant Exchange.</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adopted and follows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amounts and fair values of the Company’s financial instruments as of September 30, 2024 and December 31,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288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 - commodity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instruments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50,427</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 - commodity derivatives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4"/>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facilities </w:t>
      </w:r>
      <w:r>
        <w:rPr>
          <w:rFonts w:ascii="Times New Roman" w:cs="Times New Roman" w:eastAsia="Times New Roman" w:hAnsi="Times New Roman"/>
          <w:sz w:val="18"/>
          <w:szCs w:val="18"/>
          <w:color w:val="auto"/>
        </w:rPr>
        <w:t>— The carrying amounts of the revolving credit facilities approximate their fair values, as the applicable interest rates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and reflective of market rates.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financial assets and liabilities </w:t>
      </w:r>
      <w:r>
        <w:rPr>
          <w:rFonts w:ascii="Times New Roman" w:cs="Times New Roman" w:eastAsia="Times New Roman" w:hAnsi="Times New Roman"/>
          <w:sz w:val="18"/>
          <w:szCs w:val="18"/>
          <w:color w:val="auto"/>
        </w:rPr>
        <w:t>— The carrying amounts of the Company’s other financial assets and liabilities, such as revenue receivable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due to sellers, approximate their fair values because of the short maturity of these instruments.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commodity derivatives </w:t>
      </w:r>
      <w:r>
        <w:rPr>
          <w:rFonts w:ascii="Times New Roman" w:cs="Times New Roman" w:eastAsia="Times New Roman" w:hAnsi="Times New Roman"/>
          <w:sz w:val="18"/>
          <w:szCs w:val="18"/>
          <w:color w:val="auto"/>
        </w:rPr>
        <w:t>— The fair value of the Company’s derivative instruments is estimated by management considering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factors, including closing exchange and over-the-counter quotations and the time value of the underlying commitments. The fair value of the Company’s commodity derivative instruments is considered to be a Level 2 measurement. </w:t>
      </w:r>
      <w:r>
        <w:rPr>
          <w:rFonts w:ascii="Arial" w:cs="Arial" w:eastAsia="Arial" w:hAnsi="Arial"/>
          <w:sz w:val="16"/>
          <w:szCs w:val="16"/>
          <w:color w:val="auto"/>
        </w:rPr>
        <w:t>S</w:t>
      </w:r>
      <w:r>
        <w:rPr>
          <w:rFonts w:ascii="Times New Roman" w:cs="Times New Roman" w:eastAsia="Times New Roman" w:hAnsi="Times New Roman"/>
          <w:sz w:val="18"/>
          <w:szCs w:val="18"/>
          <w:color w:val="auto"/>
        </w:rPr>
        <w:t>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Equity investment</w:t>
      </w:r>
      <w:r>
        <w:rPr>
          <w:rFonts w:ascii="Times New Roman" w:cs="Times New Roman" w:eastAsia="Times New Roman" w:hAnsi="Times New Roman"/>
          <w:sz w:val="18"/>
          <w:szCs w:val="18"/>
          <w:color w:val="auto"/>
        </w:rPr>
        <w:t>s — The fair value of the Company’s investment in Vital Energy's common stock was valued using the instrument's publicly listed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which is considered to be a Level 1 measurement due to the use of an observable market quote in an active market. Prior to conversion, the fair value of the Company's investment in Vital Energy's preferred stock was estimated by management considering various factors, including the publicly listed trading price of Vital Energy's common shares and the present value of expected dividends. The fair value of the investment in preferred stock was considered to be a Level 2 measurement. Substantially all of these inputs are observable in the marketplace throughout the full term of the instrument, can be derived from observable data, or are supported by observable levels at which transactions are executed in the marketplace.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2024, the 2.0% cumulative mandatorily convertible preferred securities of Vital Energy were converted into 541,155 shares of common stock of Vital Energy. Prior to this conversion, the common shares of Vital Energy owned by the Company were not entitled to vote and bore a restricted legend to that effect. As of September 30, 2024, the Company held 1,027,907 shares of Vital Energy’s common stock, for which the fair value is a Level 1 measurement.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condensed</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consolidated balance sheets as of September 30, 2024 and December 31, 2023. The Company nets the fair value of commodity derivative instruments by counterparty in the Company’s condensed 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2"/>
                <w:szCs w:val="2"/>
                <w:color w:val="auto"/>
              </w:rPr>
            </w:pPr>
          </w:p>
        </w:tc>
        <w:tc>
          <w:tcPr>
            <w:tcW w:w="11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Net Fair Value</w:t>
            </w:r>
          </w:p>
        </w:tc>
        <w:tc>
          <w:tcPr>
            <w:tcW w:w="0" w:type="dxa"/>
            <w:vAlign w:val="bottom"/>
          </w:tcPr>
          <w:p>
            <w:pPr>
              <w:spacing w:after="0"/>
              <w:rPr>
                <w:sz w:val="1"/>
                <w:szCs w:val="1"/>
                <w:color w:val="auto"/>
              </w:rPr>
            </w:pPr>
          </w:p>
        </w:tc>
      </w:tr>
      <w:tr>
        <w:trPr>
          <w:trHeight w:val="144"/>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4"/>
                <w:szCs w:val="14"/>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Presented in the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20" w:type="dxa"/>
            <w:vAlign w:val="bottom"/>
          </w:tcPr>
          <w:p>
            <w:pPr>
              <w:spacing w:after="0"/>
              <w:rPr>
                <w:sz w:val="14"/>
                <w:szCs w:val="14"/>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76"/>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5"/>
                <w:szCs w:val="15"/>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3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3"/>
        </w:trPr>
        <w:tc>
          <w:tcPr>
            <w:tcW w:w="3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Commodity derivatives – current portion</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0" w:type="dxa"/>
            <w:vAlign w:val="bottom"/>
          </w:tcPr>
          <w:p>
            <w:pPr>
              <w:spacing w:after="0"/>
              <w:rPr>
                <w:sz w:val="1"/>
                <w:szCs w:val="1"/>
                <w:color w:val="auto"/>
              </w:rPr>
            </w:pPr>
          </w:p>
        </w:tc>
      </w:tr>
      <w:tr>
        <w:trPr>
          <w:trHeight w:val="26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derivatives – noncurrent portion</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derivatives – current portion</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Commodity derivatives – noncurrent portion</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7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derivative instruments</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9"/>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2"/>
                <w:szCs w:val="2"/>
                <w:color w:val="auto"/>
              </w:rPr>
            </w:pPr>
          </w:p>
        </w:tc>
        <w:tc>
          <w:tcPr>
            <w:tcW w:w="11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Net Fair Value</w:t>
            </w:r>
          </w:p>
        </w:tc>
        <w:tc>
          <w:tcPr>
            <w:tcW w:w="0" w:type="dxa"/>
            <w:vAlign w:val="bottom"/>
          </w:tcPr>
          <w:p>
            <w:pPr>
              <w:spacing w:after="0"/>
              <w:rPr>
                <w:sz w:val="1"/>
                <w:szCs w:val="1"/>
                <w:color w:val="auto"/>
              </w:rPr>
            </w:pPr>
          </w:p>
        </w:tc>
      </w:tr>
      <w:tr>
        <w:trPr>
          <w:trHeight w:val="144"/>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4"/>
                <w:szCs w:val="14"/>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Presented in the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20" w:type="dxa"/>
            <w:vAlign w:val="bottom"/>
          </w:tcPr>
          <w:p>
            <w:pPr>
              <w:spacing w:after="0"/>
              <w:rPr>
                <w:sz w:val="14"/>
                <w:szCs w:val="14"/>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4"/>
                <w:szCs w:val="14"/>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4"/>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9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7"/>
                <w:szCs w:val="17"/>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3"/>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 common stock</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investments - preferred stock</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investments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Commodity derivatives – current portion</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0" w:type="dxa"/>
            <w:vAlign w:val="bottom"/>
          </w:tcPr>
          <w:p>
            <w:pPr>
              <w:spacing w:after="0"/>
              <w:rPr>
                <w:sz w:val="1"/>
                <w:szCs w:val="1"/>
                <w:color w:val="auto"/>
              </w:rPr>
            </w:pPr>
          </w:p>
        </w:tc>
      </w:tr>
      <w:tr>
        <w:trPr>
          <w:trHeight w:val="26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derivatives – noncurrent portion</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derivatives – current portion</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Commodity derivatives – noncurrent portion</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derivative instruments</w:t>
            </w: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Acquisitions and Divestitures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Acquisitions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and 2023, the Company acquired various oil and natural gas properties. The following table presents the cumulative adjusted purchase price of transactions accounted for as asset acquisitions in accordance with Accounting Standards Codifications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by basin included in oil and gas properties on the Company’s condensed 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80" w:type="dxa"/>
            <w:vAlign w:val="bottom"/>
            <w:gridSpan w:val="4"/>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6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w:t>
            </w: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Eagle Ford</w:t>
            </w:r>
          </w:p>
        </w:tc>
        <w:tc>
          <w:tcPr>
            <w:tcW w:w="54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Bakken</w:t>
            </w: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Haynesville</w:t>
            </w:r>
          </w:p>
        </w:tc>
        <w:tc>
          <w:tcPr>
            <w:tcW w:w="54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DJ</w:t>
            </w: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Appalachian</w:t>
            </w: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during the nine months ended September 30, 2024, the Company recorded closing adjustments that reduced the acquisition price of business combinations completed during 2023 by $1.5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Divestitures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partial interests in certain proved and unproved properties in exchange for total consideration of $3.9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Business Combination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2023, the Company closed on an acquisition treated as a business combination where it received proved developed producing oil and natural gas properties with approximately 281 net acres. The properties are located in the Permian, Eagle Ford and DJ basins. Total adjusted consideration of $8.2 million was paid for these oil and natural gas properties. Asset retirement obligations acquired were $0.2 million.</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 Incentive Plan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Granite Ridge Resources, Inc. 2022 Omnibus Incentive Plan (the “Plan”) provides the Company the ability to grant, among other award types, stock options, restricted stock awards, and PSUs to directors, officers, employees and consultants or advisors employed by or providing service to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the Company granted restricted stock awards, stock options, and PSUs. Stock-based compensation expense during the three and nine months ended September 30, 2024 was $0.6 million and $1.7 million, respectively. During the first quarter of 2023, the Company granted restricted stock awards, fully vested stock awards, stock options, and PSUs. Stock-based compensation expense during the three and nine months ended September 30, 2023 was $0.4 million and $1.8 million, respectively.</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 The Company has granted restricted stock awards to certain of its employees and consultants under the Plan.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are valued at the closing price of the Company's common stock on the date of grant. All restricted shares are legally issued and outstanding. If an employee terminates employment prior to the restriction lapse date, the awarded shares are forfeited and canceled and are no longer considered issued and outstanding. The holders of unvested restricted stock awards have voting rights and the right to receive dividends. The restricted stock awards generally vest ratably over a period of three years. The Company recognizes compensation expense utilizing graded vesting whereby compensation expense is recognized over the service period for each separately vesting tranche.</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PSUs </w:t>
      </w:r>
      <w:r>
        <w:rPr>
          <w:rFonts w:ascii="Times New Roman" w:cs="Times New Roman" w:eastAsia="Times New Roman" w:hAnsi="Times New Roman"/>
          <w:sz w:val="18"/>
          <w:szCs w:val="18"/>
          <w:color w:val="auto"/>
        </w:rPr>
        <w:t>- The Company has granted PSUs to certain of its officers under the Plan. The PSUs cliff vest at the end of three years, generally subject to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through the performance period. The total number of shares eligible to be earned may range from zero to 200% of the target number of PSUs granted, determined based upon achievement of certain "financial performance" and "market performance" criteria for the Company and individual performance criteria for the officers awarded PSUs. Financial performance is based on the Company's financial performance at the end of the applicable performance period, while market performance is based on the relative standing of total shareholder return achieved by the Company compared to a predetermined group of peer companies at the end of the applicable performance period. Individual performance criteria are based on the officers' performance relative to individual performance goals at the end of the performance period. The Company utilizes the Monte Carlo simulation method to determine the fair value of the PSUs based on market performance, while the PSUs based on financial performance are valued based on the closing price of the Company's common stock on the date of grant.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 The Company has granted stock options to certain of its officers under the Plan. The Company's outstanding stock options expire in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following the date of grant. Pursuant to the stock options granted under the Plan, 33% of the options vest immediately with an additional 33% to vest on each of the next two anniversaries of the date of the grant, generally subject to continued employment through each such vesting date. During the first quarter of 2024, the Company granted 134,375 stock options with an exercise price of $6.06 per share. During the first quarter of 2023, the Company granted 72,108 stock options with an exercise price per share of $5.02 and 320,000 stock options with an exercise price per share of $9.22.</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 The Company may issue other awards to its employees and consultants under the Plan. During the first quarter of 2023, the Company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94,007 fully vested stock awards as other awards to certain of its employees and consultants under the Plan. Weighted average grant date fair value of other awards was $8.51.</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summary of the Company’s activity under the Plan for the restricted stock awards, PSUs and stock options for the nine months ended September 30, 2024 is presented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6"/>
                <w:szCs w:val="16"/>
                <w:color w:val="auto"/>
              </w:rPr>
            </w:pPr>
          </w:p>
        </w:tc>
        <w:tc>
          <w:tcPr>
            <w:tcW w:w="12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23"/>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392,108</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granted (1)</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134,375</w:t>
            </w: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vested (2)</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539,630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97,532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526,483</w:t>
            </w:r>
          </w:p>
        </w:tc>
      </w:tr>
      <w:tr>
        <w:trPr>
          <w:trHeight w:val="46"/>
        </w:trPr>
        <w:tc>
          <w:tcPr>
            <w:tcW w:w="6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6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 Weighted average grant date fair value per share/unit</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bl>
    <w:p>
      <w:pPr>
        <w:spacing w:after="0" w:line="9" w:lineRule="exact"/>
        <w:rPr>
          <w:sz w:val="20"/>
          <w:szCs w:val="20"/>
          <w:color w:val="auto"/>
        </w:rPr>
      </w:pPr>
    </w:p>
    <w:p>
      <w:pPr>
        <w:ind w:left="20" w:right="80" w:firstLine="6"/>
        <w:spacing w:after="0" w:line="237" w:lineRule="auto"/>
        <w:tabs>
          <w:tab w:leader="none" w:pos="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and PSUs vested during the period. During the nine months ended September 30, 2024, 175,493 stock options vested. As of September 30, 2024, there were a total of 306,195 stock 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summary of the Company’s activity under the Plan for the restricted stock awards, PSUs and stock options for the nine months ended September 30, 2023 is presented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6"/>
                <w:szCs w:val="16"/>
                <w:color w:val="auto"/>
              </w:rPr>
            </w:pPr>
          </w:p>
        </w:tc>
        <w:tc>
          <w:tcPr>
            <w:tcW w:w="12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23"/>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granted (1)</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392,108</w:t>
            </w: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vested (2)</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(130,702)</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308,938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261,406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2"/>
        </w:trPr>
        <w:tc>
          <w:tcPr>
            <w:tcW w:w="66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Weighted average grant date fair value per share/unit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r>
    </w:tbl>
    <w:p>
      <w:pPr>
        <w:spacing w:after="0" w:line="9" w:lineRule="exact"/>
        <w:rPr>
          <w:sz w:val="20"/>
          <w:szCs w:val="20"/>
          <w:color w:val="auto"/>
        </w:rPr>
      </w:pPr>
    </w:p>
    <w:p>
      <w:pPr>
        <w:ind w:left="20" w:right="260" w:firstLine="6"/>
        <w:spacing w:after="0" w:line="237" w:lineRule="auto"/>
        <w:tabs>
          <w:tab w:leader="none" w:pos="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and PSUs vested during the period. During the nine months ended September 30, 2023, 130,702 stock options vested and were exercisable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the Company became the sole owner of GREP. GREP is a disregarded entity for U.S. federal income tax purposes. As a result of the Business Combination, the Funds' net assets were transferred to the Company resulting in carryover tax basis of those assets. The Company is a C corporation and subject to U.S. federal income tax and state and local income taxes.</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Company records income taxes through the use of an estimated annual effective tax rate and specific events that are discretely recognized as they occur. For the three and nine months ended September 30, 2024, the Company recorded income tax expense of $4.3 million and $10.8 million, respectively. For the three and nine months ended September 30, 2023, the Company recorded income tax expense of $5.2 million and $20.1 million, respectively.</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end of each interim period, the Company applies an estimated annualized effective tax rate to the current period income or loss before income taxes, which can produce interim effective tax rate fluctuations. The Company’s effective income tax rate was 32.4% and 26.3% for the three and nine months ended September 30, 2024, respectively. For the three and nine months ended September 30, 2023, the Company’s effective income tax rate was 22.3% and 24.0%, respectively. The effective tax rate differs from the enacted statutory rate of 21% primarily due to the impact of certain discrete items, such as adjusting deferred balances for filed tax returns, and state income taxes.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all tax positions for which the statute of limitations remains open and believes that the material positions taken would more likely than not be sustained upon examination. Therefore, as of September 30, 2024 and December 31, 2023, the Company had no unrecognized tax benefits and did not recognize any interest or penalties during those respective periods related to unrecognized tax benefits.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16, 2022, the Inflation Reduction Act (the "IRA") was enacted into law and includes significant changes related to tax, climate change, energy and health care. The provisions within IRA, among other things, include (i) a new 15% corporate alternative minimum tax on certain large corporations, (ii) a new nondeductible 1% excise tax on the value of certain stock that a company repurchases, and (iii) various tax incentives for energy and climate initiatives. Each of these provisions was effective for tax years beginning after December 31, 2022. The Department of Treasury is expected to continue to publish regulations relevant to many aspects of the IRA. The Company currently does not believe that there will be a material impact on its cash taxes or income tax expense for the 2024 tax year or future periods but will continue to monitor potential impacts.</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Company’s total debt was $195.0 million and $110.0 million at September 30, 2024 and December 31, 2023,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Granite Ridge Credit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24, 2022, Granite Ridge entered into a senior secured revolving credit agreement with a syndicate of banks (as amended, the “Credit Agreement”). The Credit Agreement has a maturity date of five years from the effective date thereof.</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initially provided for aggregate elected commitments of $150.0 million, a borrowing base of $325.0 million and an aggregate maximum revolving credit amount of $1.0 billion. The borrowing base is redetermined semiannually on or about April 1 and October 1 of each calendar year, and is subject to additional adjustments from time to time, including for asset sales, elimination or reduction of hedge positions and incurrence of other debt. On November 7, 2023, Granite Ridge entered into the First Amendment to the Credit Agreement (the "First Amendment") which, among other things, decreased the borrowing base from $325.0 million to $275.0 million and increased the aggregate elected commitments from $150.0 million to $240.0 million. This borrowing base decrease was a result of the disposition of certain assets in the Permian Basin to Vital Energy.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2024, the Company entered into the Resignation, Appointment, Assignment and Third Amendment to Credit Agreement (the “Third Amendment”) by and among the Company, as borrower, Texas Capital Bank, as resigning administrative agent, Bank of America, N.A. (“Bank of America”), as successor administrative agent, and the lenders from time to time party thereto. The Third Amendment, among other things, (a) appointed Bank of America as administrative</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agent and L/C Issuer (as defined therein), replacing Texas Capital Bank, (b) increased the size of the lender group by adding nine new banks, with one bank exiting the facility, (c) increased the borrowing base from $275.0 million to $300.0 million, and (d) increased the aggregate elected commitments from $240.0 million to $300.0 million. In connection with the Third Amendment and the increase in the size of the lender group, certain lenders decreased their commitment amounts and one bank exited the facility, which resulted in a write-off of $2.2 million in deferred financing costs that were previously capitalized in “other long-term assets” in the accompanying condensed consolidated balance sheets. This $2.2 million is included in “interest expense” in</w:t>
      </w:r>
    </w:p>
    <w:p>
      <w:pPr>
        <w:spacing w:after="0" w:line="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statements of operations for the nine months ended September 30, 2024 and is added back as a non-cash adjustment to operating activities in the condensed consolidated statements of cash flows. The Company capitalized approximately $3.0 million in expenses related to the Third Amendment that are included in “other long-term assets” in the accompanying condensed consolidated balance sheets.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the Company had outstanding borrowings of $195.0 million and $0.3 million of outstanding letters of credit issued and outstanding under the Credit Agreement, resulting in availability of $104.7 million. The Credit Agreement is guaranteed by the restricted subsidiaries of Granite Ridge and is secured by a first priority mortgage and security interest in substantially all of the Company’s and its restricted subsidiaries’ assets.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the Credit Agreement may be base rate loans or secured overnight financing rate (“SOFR”) loans. Interest is payable quarterly for base rate loans and at the end of the applicable interest period for SOFR loans. Prior to the First Amendment, SOFR loans accrued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accrued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150 to 250 basis points, depending on the percentage of the borrowing base utilized.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First Amendment, SOFR loans now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now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pays a commitment fee on unused elected commitment amounts under its facility of 50 basis points. The Company may repay any amounts borrowed under the Credit Agreement prior to the maturity date without any premium or penalty.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contains certain financial covenants, including the maintenance of the following financial ratios:</w:t>
      </w:r>
    </w:p>
    <w:p>
      <w:pPr>
        <w:spacing w:after="0" w:line="225" w:lineRule="exact"/>
        <w:rPr>
          <w:sz w:val="20"/>
          <w:szCs w:val="20"/>
          <w:color w:val="auto"/>
        </w:rPr>
      </w:pPr>
    </w:p>
    <w:p>
      <w:pPr>
        <w:ind w:left="980" w:hanging="648"/>
        <w:spacing w:after="0" w:line="282" w:lineRule="auto"/>
        <w:tabs>
          <w:tab w:leader="none" w:pos="9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ratio, which is the ratio of Consolidated Total Debt to EBITDAX (each as defined in the Credit Agreement), of not greater than 3.00 to 1.00 as of the last day of each fiscal quarter, and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Ratio (as defined in the Credit Agreement), of not less than 1.00 to 1.00 as of the last day of each fiscal quarter.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Company was in compliance with all financial covenants required by the Credit Agreement.</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Warrant Exchange </w:t>
      </w:r>
      <w:r>
        <w:rPr>
          <w:rFonts w:ascii="Times New Roman" w:cs="Times New Roman" w:eastAsia="Times New Roman" w:hAnsi="Times New Roman"/>
          <w:sz w:val="18"/>
          <w:szCs w:val="18"/>
          <w:color w:val="auto"/>
        </w:rPr>
        <w:t>- On June 22, 2023, the Company completed an Offer to holders of its outstanding warrants which provided such holders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receive 0.25 shares of the Company’s common stock in exchange for each warrant tendered by such holders. This Offer coincided with a solicitation of consents from holders of the warrants to amend the warrant agreement to permit the Company to require that each warrant that remained outstanding upon the closing of the Offer be exchanged for 0.225 shares of the Company’s common stock.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exchanged in the Offer were marked to fair value on the date of settlement, which was recorded in loss on derivatives - common stock warrants on the condensed consolidated statements of operations. Upon exchange, the liability of $17.0 million and $0.7 million related to the exchanged common stock warrants in June 2023 and July 2023, respectively, was removed from the condensed consolidated balance sheet and the issuance of shares of the Company’s common stock was reflected in stockholders’ equity.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$2.5 million of costs directly related to the Warrant Exchange, consisting primarily of professional, legal, printing, filing, regulatory, and other costs. The costs were recorded in General and administrative expenses on the condensed consolidated statements of operations for the nine months ended September 30, 2023.</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Common Stock Dividends </w:t>
      </w:r>
      <w:r>
        <w:rPr>
          <w:rFonts w:ascii="Times New Roman" w:cs="Times New Roman" w:eastAsia="Times New Roman" w:hAnsi="Times New Roman"/>
          <w:sz w:val="18"/>
          <w:szCs w:val="18"/>
          <w:color w:val="auto"/>
        </w:rPr>
        <w:t>- The Company paid dividends of $14.4 million, or $0.11 per share, and $43.1 million, or $0.33 per share during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respectively. For the three and nine months ended September 30, 2023, the Company paid dividends of $14.8 million, or $0.11 per share, and $44.1 million, or $0.33 per share,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payment of future dividends will be at the discretion of the Company’s Board of Directors.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 In December 2022, the Company announced that its Board of Directors approved a stock repurchase program for up to $50.0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the Company’s common stock through December 31, 2023. Under the stock repurchase program, the Company was permitted to repurchase shares of its common stock from time to time in open market transactions or in privately negotiated transactions as permitted under applicable rules and regulations. The stock repurchase program terminated on December 31, 2023.</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repurchased 868,726 and 1,802,311 shares under the program at an aggregate cost of $6.3 million and $12.1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 Shares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1, 495,357 shares of Class F common stock of ENPC were converted into 1,238,393 shares of Class A common stock of ENPC, 371,518 of which became subject to certain vesting and forfeiture provisions upon their conversion to the Company’s common stock in accordance with the Business Combination Agreement (the “Vesting Shares”). Based on an assessment of the Vesting Shares, the Company considered ASC 480 and accounted for the Vesting Shares as a liability. The Company recorded a liability related to the Vesting Shares of $1.3 million as of December 31, 2022. In January 2023, the Company reversed this liability and the related additional paid-in capital when 151,170 of these shares vested. The remaining shares were forfeited.</w:t>
      </w:r>
    </w:p>
    <w:p>
      <w:pPr>
        <w:spacing w:after="0" w:line="1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of the Business Combination, Grey Rock Administration, LLC (the “Manager”) entered into a Management Services Agreement with Granite Ridge (the “MSA”). Under the MSA, the Manager provides general management, administrative, and operating services covering the oil and gas assets and other properties of the Company and other day-to-day business and affairs of the Company. In accordance with the MSA, the Company pays the Manager an annual services fee of $10.0 million and reimburses the Manager for certain Granite Ridge group costs related to the</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 of the Company’s assets (including for third-party costs allocated or attributable to the assets of the Company). The initial term of the MSA expires on April 30, 2028; however, the MSA will automatically renew for additional consecutive one-year renewal terms until terminated in accordance with its terms. Upon any termination of the MSA, the Manager shall provide transition services for a period of up to 90 days.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service fees for the Company under the MSA were approximately $2.5 million and $7.5 million, respectively, and are included in general and administrative expenses within the accompanying condensed consolidated statements of operations. For the three and nine months ended September 30, 2023, service fees for the Company under the MSA were $2.5 million and $7.5 million, respectively, consistent with the same periods of 2024.</w:t>
      </w:r>
    </w:p>
    <w:p>
      <w:pPr>
        <w:spacing w:after="0" w:line="176"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Concentrations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operations could be adversely affected. These risks are heightened in a low commodity price environment, which may present significant challenges to these third-party operators. The Company’s third-party operators will make decisions in connection with their operations that may not be in the Company’s best interests, and the Company may have little or no ability to exercise influence over the operational decisions of its third-party operators.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Derivative Counterparties </w:t>
      </w:r>
      <w:r>
        <w:rPr>
          <w:rFonts w:ascii="Times New Roman" w:cs="Times New Roman" w:eastAsia="Times New Roman" w:hAnsi="Times New Roman"/>
          <w:sz w:val="18"/>
          <w:szCs w:val="18"/>
          <w:color w:val="auto"/>
        </w:rPr>
        <w:t>- The Company uses credit and other financial criteria to evaluate the creditworthiness of counterparties to its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The Company believes that all of its derivative counterparties are currently acceptable credit risks. All of the Company’s outstanding derivative instruments are covered by International Swap Dealers Association Master Agreements (“ISDAs”) entered into with parties that are also lenders under the Company’s Credit Agreement. The Company’s obligations under the derivative instruments are secured pursuant to the Credit Agreement, and no additional collateral has been posted by the Company.</w:t>
      </w:r>
    </w:p>
    <w:p>
      <w:pPr>
        <w:spacing w:after="0" w:line="1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of calculating earnings per share because certain of the Company’s unvested stock-based awards qualify as participating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basic earnings (loss) per share attributable to common stockholders is computed as (i) net income (loss) as reported, (ii) less participating basic earnings (iii) divided by weighted average basic common shares outstanding. The Company’s diluted earnings (loss) per share attributable to common stockholders is computed as (i) basic earnings (loss) attributable to common stockholders, (ii) plus reallocation of participating earnings (iii) divided by weighted average diluted common shares outstanding.</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basic and diluted earnings per share computations for the three and nine months ended September 30,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63,560</w:t>
            </w: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Participating basic earnings (a)</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7"/>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earnings attributable to common stockholders</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63,451</w:t>
            </w:r>
          </w:p>
        </w:tc>
        <w:tc>
          <w:tcPr>
            <w:tcW w:w="0" w:type="dxa"/>
            <w:vAlign w:val="bottom"/>
          </w:tcPr>
          <w:p>
            <w:pPr>
              <w:spacing w:after="0"/>
              <w:rPr>
                <w:sz w:val="1"/>
                <w:szCs w:val="1"/>
                <w:color w:val="auto"/>
              </w:rPr>
            </w:pP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Reallocation of participating earnings</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attributable to common stockholders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134,396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133,426</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performance stock units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Dilutive stock options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20" w:right="240" w:firstLine="6"/>
        <w:spacing w:after="0" w:line="266" w:lineRule="auto"/>
        <w:tabs>
          <w:tab w:leader="none" w:pos="2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to the Warrant Exchange, the warrants were out-of-the-money and were not included in the computation of the diluted earnings per share. As a result of the Warrant Exchange, no warrants remained outstanding at September 30, 2023.</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PSUs and stock options, which were not included in the computation of diluted earnings per share, as inclusion of these items would be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60" w:type="dxa"/>
            <w:vAlign w:val="bottom"/>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antidilutive common shares:</w:t>
            </w: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Antidilutive performance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74,096</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17,689</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Antidilutive stock options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517,818</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378,067</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485,608</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271,788</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common shares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591,914</w:t>
            </w: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399,074</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535,196</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289,477</w:t>
            </w:r>
          </w:p>
        </w:tc>
      </w:tr>
      <w:tr>
        <w:trPr>
          <w:trHeight w:val="27"/>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Board of Directors declared a regular quarterly dividend of $0.11 per share payable on December 16, 2024 to shareholders of record as of November 29, 2024. Future declarations of dividends are subject to approval by the Board of Directors.</w:t>
      </w:r>
    </w:p>
    <w:p>
      <w:pPr>
        <w:spacing w:after="0" w:line="200" w:lineRule="exact"/>
        <w:rPr>
          <w:sz w:val="20"/>
          <w:szCs w:val="20"/>
          <w:color w:val="auto"/>
        </w:rPr>
      </w:pPr>
    </w:p>
    <w:p>
      <w:pPr>
        <w:spacing w:after="0" w:line="36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GRANITE RIDGE RESOURCES,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Amendment to the Credit Agreement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 2024, the Company and its lenders entered into the Fourth Amendment to the Credit Agreement, which amended the Credit Agreement to, among other things, increase the borrowing base and aggregate elected commitments from $300 million to $325 million.</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Supplementary Data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Costs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Oil and natural gas properties: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Proved</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1,423,923</w:t>
            </w:r>
          </w:p>
        </w:tc>
        <w:tc>
          <w:tcPr>
            <w:tcW w:w="10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1,198,845</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Unproved</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68,938</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accumulated depletion</w:t>
            </w: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(593,411)</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(467,141)</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capitalized costs for oil and natural gas properties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899,450</w:t>
            </w:r>
          </w:p>
        </w:tc>
        <w:tc>
          <w:tcPr>
            <w:tcW w:w="10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769,542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Costs Incurred for Oil and Natural Gas Producing Activities</w:t>
            </w: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24"/>
                <w:szCs w:val="24"/>
                <w:color w:val="auto"/>
              </w:rPr>
            </w:pPr>
          </w:p>
        </w:tc>
        <w:tc>
          <w:tcPr>
            <w:tcW w:w="2780" w:type="dxa"/>
            <w:vAlign w:val="bottom"/>
            <w:gridSpan w:val="6"/>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Pr>
          <w:p>
            <w:pPr>
              <w:spacing w:after="0"/>
              <w:rPr>
                <w:sz w:val="21"/>
                <w:szCs w:val="21"/>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27,459</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Unproved</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costs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75,726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206,761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233,071</w:t>
            </w: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costs incurred for oil and natural gas properties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284,583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Conditions and Results of Operations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10-Q.</w:t>
      </w:r>
    </w:p>
    <w:p>
      <w:pPr>
        <w:spacing w:after="0" w:line="119"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i w:val="1"/>
          <w:iCs w:val="1"/>
          <w:color w:val="auto"/>
        </w:rPr>
        <w:t xml:space="preserve">The following discussion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Also, please read the risk factors and other cautionary statements described under “Part I, Item 1A. Risk Factors” in our Annual Report on Form 10-K for the year ended December 31, 2023 (the "2023 Form 10-K") and elsewhere in this Report. We assume no obligation to update any of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except as required by applicable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Granite Ridge is a scaled, non-operated oil and gas exploration and production company. We own a portfolio of wells and top-tier acreage across the Permian and five other prolific unconventional basins across the United States. Rather than drill wells ourselves, we increase asset diversity and decrease overhead by investing in a smaller piece of a larger number of high-graded wells drilled by proven public and private operators. As a non-operating partner, we pay our pro rata share of expenses, but we are not burdened by long-term contracts and drilling obligations common to operators.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24, 2022 (the “Closing Date”), Granite Ridge and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on the Business Combination, see Note 1 of the Notes to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Factors That Affect Our Operating Results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revenues, cash flows from operations and future growth depend substantially upon:</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and success of drilling and production activities by our operating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prices and the supply and demand for oil and natural gas;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quantity of oil and natural gas production from the wells in which we participate;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the fair value of the derivative instruments we use to reduce our exposure to fluctuations in the price of oil and natural gas;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continue to identify and acquire high-quality acreage and drilling opportunities;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our operating expenses.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factors that affect companies in our industry generally, the location of substantially all of our acreage in the Eagle Ford, Permian, Bakken, Haynesville, Denver-Julesburg, and Appalachian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price of oil and natural gas can vary depending on the market in which it is sold and the means of transportation used to transport the oil and natural gas to market.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oil price differential to the NYMEX benchmark price during the three months ended September 30, 2024 and 2023 was a discount of $(2.99) per barrel and $(3.79) per barrel, respectively. For the nine months ended September 30, 2024 and 2023, our oil price differential to the NYMEX benchmark price was a discount of $(2.27) per barrel and $(1.34) per barrel,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natural gas price differential to the average NYMEX price during the three months ended September 30, 2024 and 2023 was a discount of $(0.87) per Mcf and $(0.08) per Mcf, respectively. For the nine months ended September 30, 2024 and 2023, our natural gas price differential to the average NYMEX price was a discount of $(0.43) per Mcf and a premium of $0.16 per Mcf,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Historically, commodity prices have been volatile, and we expect that volatility to continue in the future.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Prices for various quantities of oil and natural gas that we produce significantly impact our revenues and cash flows. The following table lists average NYMEX prices for oil and natural gas for the three and nine months ended September 30,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NYMEX Prices (1)</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0"/>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Oil (per Bbl)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57"/>
        </w:trPr>
        <w:tc>
          <w:tcPr>
            <w:tcW w:w="55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Natural gas (per Mcf)</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Based on average NYMEX closing prices.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the average NYMEX oil pricing was $76.43 per barrel of oil, or 7% lower than the average NYMEX price per barrel for the three months ended September 30, 2023. Our settled derivatives increased our realized oil price per barrel by $0.55 for the three months ended September 30, 2024 and increased our realized oil price per barrel by $0.11 for the three months ended September 30, 2023. For the three months ended September 30, 2024, our average realized oil price per barrel after reflecting settled derivatives was $73.99 compared to</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$78.52 for the three months ended September 30, 2023. For the nine months ended September 30, 2024, the average NYMEX oil pricing was $78.58 per barrel of oil, or 2% higher than the average NYMEX price per barrel for the nine months ended September 30, 2023. Our settled derivatives increased our realized oil price per barrel by $0.11 for the nine months ended September 30, 2024 and increased our realized oil price per barrel by $1.29 for the nine months ended September 30, 2023. For the nine months ended September 30, 2024, our average realized oil price per barrel after reflecting settled derivatives was $76.42 compared to $77.25 for the nine months ended September 30, 2023.</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2024, the average NYMEX natural gas pricing was $2.11 per Mcf, or 21% lower than the average NYMEX price per Mcf for the three months ended September 30, 2023. Our settled derivatives increased our realized natural gas price per Mcf by $0.74 for the three months ended September 30, 2024 and increased our realized natural gas price per Mcf by $0.55 for the three months ended September 30, 2023. For the three months ended September 30, 2024, our average realized natural gas price per Mcf after reflecting settled derivatives was $1.98 compared to $3.13 for the three months ended September 30, 2023. For the nine months ended September 30, 2024, the average NYMEX natural gas pricing was $2.11 per Mcf, or 18% lower than the average NYMEX price per Mcf for the nine months ended September 30, 2023. Our settled derivatives increased our realized natural gas price per Mcf by $0.58 for the nine months ended September 30, 2024 and increased our realized natural gas price per Mcf by $0.72 for the nine months ended September 30, 2023. For the nine months ended September 30, 2024, our average realized natural gas price per Mcf after reflecting settled derivatives was $2.26 compared to $3.46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summary production and operating data for the periods indicated. Because of normal production declines, increased or decreased drilling activities, fluctuations in commodity prices and the effects of acquisitions and divestitures, the historical information presented below should not be interpreted as being indicative of future results.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 (in thousands):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3"/>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Oil sales</w:t>
            </w:r>
          </w:p>
        </w:tc>
        <w:tc>
          <w:tcPr>
            <w:tcW w:w="94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85,503</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88,210</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238,761</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230,755</w:t>
            </w: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Natural gas sales</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56,516</w:t>
            </w:r>
          </w:p>
        </w:tc>
      </w:tr>
      <w:tr>
        <w:trPr>
          <w:trHeight w:val="186"/>
        </w:trPr>
        <w:tc>
          <w:tcPr>
            <w:tcW w:w="5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94,075</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108,404</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273,723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287,271</w:t>
            </w: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95"/>
        </w:trPr>
        <w:tc>
          <w:tcPr>
            <w:tcW w:w="50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19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Production:</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 (MBbl)</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r>
      <w:tr>
        <w:trPr>
          <w:trHeight w:val="193"/>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Natural gas (MMcf)</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20,643</w:t>
            </w:r>
          </w:p>
        </w:tc>
      </w:tr>
      <w:tr>
        <w:trPr>
          <w:trHeight w:val="23"/>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(MBoe)</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r>
      <w:tr>
        <w:trPr>
          <w:trHeight w:val="19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Production:</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Oil (Bbl)</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11,128</w:t>
            </w:r>
          </w:p>
        </w:tc>
      </w:tr>
      <w:tr>
        <w:trPr>
          <w:trHeight w:val="193"/>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Natural gas (Mcf)</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75,133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75,615</w:t>
            </w:r>
          </w:p>
        </w:tc>
      </w:tr>
      <w:tr>
        <w:trPr>
          <w:trHeight w:val="23"/>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(Boe)</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23,731</w:t>
            </w:r>
          </w:p>
        </w:tc>
      </w:tr>
      <w:tr>
        <w:trPr>
          <w:trHeight w:val="95"/>
        </w:trPr>
        <w:tc>
          <w:tcPr>
            <w:tcW w:w="5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Sales Prices: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Oil (per Bbl)</w:t>
            </w:r>
          </w:p>
        </w:tc>
        <w:tc>
          <w:tcPr>
            <w:tcW w:w="94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73.44</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78.41</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76.31</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75.96</w:t>
            </w: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gain (loss) on settled oil derivatives on average price (per Bbl)</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86"/>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Oil net of settled oil derivatives (per Bbl) (2)</w:t>
            </w: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73.99</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78.52</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77.25</w:t>
            </w: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95"/>
        </w:trPr>
        <w:tc>
          <w:tcPr>
            <w:tcW w:w="50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193"/>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Natural gas sales (per Mcf)</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gain (loss) on settled natural gas derivatives on average price (per Mcf)</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w:t>
            </w:r>
          </w:p>
        </w:tc>
      </w:tr>
      <w:tr>
        <w:trPr>
          <w:trHeight w:val="186"/>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Natural gas sales net of settled natural gas derivatives (per Mcf) (2)</w:t>
            </w: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94"/>
        </w:trPr>
        <w:tc>
          <w:tcPr>
            <w:tcW w:w="50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193"/>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Realized price on a Boe basis excluding settled commodity derivatives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w:t>
            </w: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gain (loss) on settled commodity derivatives on average price (per Boe)</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86"/>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Realized price on a Boe basis including settled commodity derivatives (2)</w:t>
            </w: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47.25</w:t>
            </w: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95"/>
        </w:trPr>
        <w:tc>
          <w:tcPr>
            <w:tcW w:w="50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19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 (in thousands):</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operating expenses</w:t>
            </w:r>
          </w:p>
        </w:tc>
        <w:tc>
          <w:tcPr>
            <w:tcW w:w="94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45,113</w:t>
            </w:r>
          </w:p>
        </w:tc>
      </w:tr>
      <w:tr>
        <w:trPr>
          <w:trHeight w:val="193"/>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19,810</w:t>
            </w: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Depletion and accretion expense</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44,267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126,682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113,088</w:t>
            </w:r>
          </w:p>
        </w:tc>
      </w:tr>
      <w:tr>
        <w:trPr>
          <w:trHeight w:val="193"/>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21,839</w:t>
            </w: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 (per Boe):</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 operating expenses</w:t>
            </w:r>
          </w:p>
        </w:tc>
        <w:tc>
          <w:tcPr>
            <w:tcW w:w="94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93"/>
        </w:trPr>
        <w:tc>
          <w:tcPr>
            <w:tcW w:w="5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Depletion and accretion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95"/>
        </w:trPr>
        <w:tc>
          <w:tcPr>
            <w:tcW w:w="5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Producing Wells at Period-End:</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195.88</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175.24</w:t>
            </w:r>
          </w:p>
        </w:tc>
      </w:tr>
      <w:tr>
        <w:trPr>
          <w:trHeight w:val="20"/>
        </w:trPr>
        <w:tc>
          <w:tcPr>
            <w:tcW w:w="50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ind w:left="340" w:hanging="314"/>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is converted to Boe using the ratio of one barrel of oil to six Mcf of natural gas.</w:t>
      </w:r>
    </w:p>
    <w:p>
      <w:pPr>
        <w:spacing w:after="0" w:line="27" w:lineRule="exact"/>
        <w:rPr>
          <w:rFonts w:ascii="Times New Roman" w:cs="Times New Roman" w:eastAsia="Times New Roman" w:hAnsi="Times New Roman"/>
          <w:sz w:val="14"/>
          <w:szCs w:val="14"/>
          <w:color w:val="auto"/>
        </w:rPr>
      </w:pPr>
    </w:p>
    <w:p>
      <w:pPr>
        <w:jc w:val="both"/>
        <w:ind w:left="360" w:right="20" w:hanging="334"/>
        <w:spacing w:after="0" w:line="262" w:lineRule="auto"/>
        <w:tabs>
          <w:tab w:leader="none" w:pos="3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presentation of realized prices including settled commodity derivatives is a result of including the net cash receipts from (payments on) commodity derivatives that are presented in our condensed consolidated statements of cash flows.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Natural Gas Sales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revenues vary from year to year primarily due to changes in realized commodity prices and production volumes. Our oil and natural gas sales for the three months ended September 30, 2024 decreased 13% from the same period in 2023. Oil revenues for the three months ended September 30, 2024 decreased by 3% compared to the same period in 2023, driven by a 6% decrease in realized prices, excluding the effect of settled derivatives, partially offset by a 3% increase in production. Natural gas revenues decreased by 58% for the three months ended September 30, 2024 compared to 2023, driven by a 52% decrease in realized natural gas prices, excluding the effect of settled commodity derivatives, and a 12% decrease in production.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Oil revenues for the nine months ended September 30, 2024 increased by 3% compared to the same period in 2023, driven by a 3% increase in production. Natural gas revenues decreased by 38% for the nine months ended September 30, 2024 compared to 2023 as a result of a 39% decrease in realized natural gas prices, excluding the effect of settled commodity derivatives, partially offset by a 1% increase in production.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Production from oil and gas properties increased for the nine months ended September 30, 2024 as compared to the same period of 2023 due to drilling success and the acquisition of additional net revenue interests. This increase in production is offset by the natural decline of the production rate of existing oil and natural gas wells as well as production lost from the sale of certain of our Permian Basin assets to Vital Energy, Inc. ("Vital Energy") in December 2023. The number of net producing wells increased from 175.24 net wells on September 30, 2023 to 195.88 net wells on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operating expenses were $13.0 million ($5.62 per Boe) for the three months ended September 30, 2024, a decrease of 23% from $16.9 million</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($6.96 per Boe) during the same period in 2023. The decrease was partially due to a decrease of $0.5 million in transportation and gathering expenses related to certain take in kind arrangements on natural gas volumes, which have declined in the Haynesville area. In addition, workover and repair and maintenance expenses for the third quarter of 2024 are lower than the same period of 2023, partially offset by an increase in certain other lease operating expenses as a result of an increase in well count due to acquisitions and additional wells successfully drilled and completed.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Lease operating expenses were $42.2 million ($6.40 per Boe) for the nine months ended September 30, 2024, a decrease of 7% from $45.1 million ($6.96 per Boe) during the same period in 2023. The decrease was primarily due to a decrease of $1.4 million in transportation and gathering expenses related to certain take in kind arrangements on natural gas volumes, which have declined in the Haynesville area. In addition, workover and repair and maintenance expenses for the nine months ended September 30, 2024 are lower than the same period of 2023, partially offset by an increase in certain other lease operating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pay production taxes based on realized oil and natural gas sales. Production taxes were $5.3 million ($2.29 per Boe) for the three months ended September 30, 2024, compared to $7.1 million ($2.93 per Boe) during the same period in 2023. As a percentage of oil and natural gas sales, our production taxes were 6% and 7% during the three months ended September 30, 2024 and 2023,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Production taxes were $15.0 million ($2.28 per Boe) for the nine months ended September 30, 2024 compared to $17.9 million ($2.76 per Boe) during the same period in 2023. As a percentage of oil and natural gas sales, our production taxes were 5% and 6% during the nine months ended September 30, 2024 and 2023, respectively.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Production taxes fluctuate with the market value of our production sold, while ad valorem taxes are generally based on the valuation of our oil and natural gas properties at the beginning of the year, which vary across the different areas in which we operate.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 valorem taxes increased during both three and nine months ended September 30, 2024 as compared to the same periods in 2023, primarily due to additional wells drilled and completed and new wells acquired.</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Depletion and Accretion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Depletion and accretion was $44.1 million ($19.06 per Boe) for the three months ended September 30, 2024, a decrease of 1% from $44.3 million ($18.20 per Boe) during the same period in 2023. The decrease in depletion and accretion expense was primarily due to the decrease in production partially offset by an increase in the depletion rate.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Depletion and accretion was $126.7 million ($19.23 per Boe) for the nine months ended September 30, 2024, an increase of 12% from $113.1 million ($17.45 per Boe) during the same period in 2023. The increase in depletion and accretion expense was primarily due to the increase in production and depletion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Unproved Properties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impairment of unproved properties was recorded for the three months ended September 30, 2024 and 2023. Impairment of unproved properties was $0.7 million for the nine months ended September 30, 2024, and no impairment recorded during the same period in 2023. The impairment in 2024 was recorded on unproved properties in the Permian Basin as the operator of those properties no longer intends to drill certain locations.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Expense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Exploration expense was $0.3 million for the three and nine months ended September 30, 2024, a decrease of 82% from $1.6 million during the same time periods in 2023. The decrease in exploration expense was primarily due to $1.6 million of costs related to certain mechanical issues encountered on two wells that made them unable to produce hydrocarbons in the three and nine months ended September 30, 2023, partially offset by delay rentals recognized during the same periods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components of our general and administrative expenses for the three and nine months ended September 30,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general and administrative expenses were $5.6 million ($2.41 per Boe) for the three months ended September 30, 2024, an increase of 6% from $5.2 million ($2.16 per Boe) during the same period in 2023. The increase was primarily due to higher salary expense and administrative fees during three months ended September 30,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general and administrative expenses were $18.7 million ($2.84 per Boe) for the nine months ended September 30, 2024, a decrease of 14% from $21.8 million ($3.37 per Boe) during the same period in 2023. The decrease was primarily due to $2.5 million of costs directly related to the Warrant Exchange in the nine months ended September 30, 2023, as well as lower insurance costs for the nine months ended September 30, 2024.</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Gain/(Loss) on Derivatives – Commodity Derivatives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gain (loss) on derivatives for the three and nine months ended September 30,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commodity derivatives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Oil derivatives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8"/>
              </w:rPr>
              <w:t>(9,808)</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Natural gas derivatives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1,679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0" w:type="dxa"/>
            <w:vAlign w:val="bottom"/>
          </w:tcPr>
          <w:p>
            <w:pPr>
              <w:spacing w:after="0"/>
              <w:rPr>
                <w:sz w:val="1"/>
                <w:szCs w:val="1"/>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455"/>
              <w:spacing w:after="0"/>
              <w:rPr>
                <w:sz w:val="20"/>
                <w:szCs w:val="20"/>
                <w:color w:val="auto"/>
              </w:rPr>
            </w:pPr>
            <w:r>
              <w:rPr>
                <w:rFonts w:ascii="Times New Roman" w:cs="Times New Roman" w:eastAsia="Times New Roman" w:hAnsi="Times New Roman"/>
                <w:sz w:val="18"/>
                <w:szCs w:val="18"/>
                <w:color w:val="auto"/>
                <w:w w:val="98"/>
              </w:rPr>
              <w:t>(8,129)</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represents our net cash receipts from (payments on) derivatives for the three and nine months ended September 30, 2024 and 2023:</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receipts from (payments on) commodity derivatives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Oil derivatives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Natural gas derivatives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0" w:type="dxa"/>
            <w:vAlign w:val="bottom"/>
          </w:tcPr>
          <w:p>
            <w:pPr>
              <w:spacing w:after="0"/>
              <w:rPr>
                <w:sz w:val="1"/>
                <w:szCs w:val="1"/>
                <w:color w:val="auto"/>
              </w:rPr>
            </w:pPr>
          </w:p>
        </w:tc>
      </w:tr>
      <w:tr>
        <w:trPr>
          <w:trHeight w:val="257"/>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was $4.8 million for the three months ended September 30, 2024 compared to $1.4 million for the three months ended September 30, 2023. The increase in interest expense during three months ended September 30, 2024 as compared to 2023 was primarily due to the higher average outstanding balance on the revolving credit facility.</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Interest expense was $13.8 million for the nine months ended September 30, 2024 compared to $2.9 million for the nine months ended September 30, 2023. The increase in interest expense during the nine months ended September 30, 2024 as compared to 2023 was primarily due the increase in interest rates and amortization of deferred financing costs, and higher average outstanding balance on the revolving credit facility.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Third Amendment to the Credit Agreement executed in April 2024, due to an increase in the size of the lender group, certain lenders decreased their commitment amounts and one bank exited the facility, which resulted in a write-off of $2.2 million in deferred financing costs that were previously capitalized. This $2.2 million is included in interest expense in the accompanying condensed consolidated statements of operations for the nine months ended September 30, 2024, which contributed to the increase in interest expense compared to the nine months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Derivatives – Common Stock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recognized a loss of $5.7 million during the nine months ended September 30, 2023 from the change in fair value of the warrant liability. See Note 3 and Note 9 of the Notes to the Condensed Consolidated Financial Statements for additional information on the common stock warrants and the Warrant Exchange.</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Equity 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recorded a loss of $18.3 million and $19.3 million during the three and nine months ended September 30, 2024, respectively, from the change in fair value of the common and preferred stock of Vital Energy. See Note 2 and Note 4 of the Notes to Condensed Consolidated Financial Statements for additional information on the common and preferred stock of Vital Energy.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recorded an income tax expense of $4.3 million and $10.8 million for the three and nine months ended September 30, 2024 compared to $5.2</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million and $20.1 million for the three and nine months ended September 30, 2023</w:t>
      </w:r>
      <w:r>
        <w:rPr>
          <w:rFonts w:ascii="Arial" w:cs="Arial" w:eastAsia="Arial" w:hAnsi="Arial"/>
          <w:sz w:val="21"/>
          <w:szCs w:val="21"/>
          <w:color w:val="auto"/>
        </w:rPr>
        <w:t>.</w:t>
      </w:r>
      <w:r>
        <w:rPr>
          <w:rFonts w:ascii="Times New Roman" w:cs="Times New Roman" w:eastAsia="Times New Roman" w:hAnsi="Times New Roman"/>
          <w:sz w:val="18"/>
          <w:szCs w:val="18"/>
          <w:color w:val="auto"/>
        </w:rPr>
        <w:t>The effective income tax rate differs from the statutory rate primarily due to the impact of certain discrete items, such as adjusting deferred balances for filed tax returns, and state income taxes. See Note 7 of the Notes to Condensed Consolidated Financial Statements for additional discussion of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main sources of liquidity and capital resources as of the periods covered by this Report have been internally generated cash flow from operations and credit facility borrowings. Our primary use of capital has been for the development and acquisition of oil and natural gas properties. We continually monitor potential capital sources for opportunities to enhance liquidity or otherwise improve our financial position.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we had $195.0 million of debt outstanding under our Credit Agreement (as defined below). We had $127.8 million of liquidity as of September 30, 2024, consisting of $104.7 million of committed borrowing availability under the Credit Agreement and $23.1 million of cash on hand. On November 1, 2024, the Company and its lenders entered into the Fourth Amendment to the Credit Agreement, which amended the Credit Agreement to, among other things, increase the borrowing base and aggregate elected commitments from $300 million to $325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our cash on hand, cash flow from operations,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Commitments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Dividends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paid dividends of $14.4 million, or $0.11 per share, and $43.1 million, or $0.33 per share during the three and nine months ended September 30, 2024, respectively. For the three and nine months ended September 30, 2023, we paid dividends of $14.8 million, or $0.11 per share, and $44.1 million, or $0.33 per share,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payment of future dividends will be at the discretion of the Company’s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2022, we announced that our Board of Directors approved a stock repurchase program for up to $50 million of our common stock through December 31, 2023. Under the stock repurchase program, we repurchased shares of our common stock from time to time in open market transactions or in privately negotiated transactions as permitted under applicable rules and regulations. The stock repurchase program terminated on December 31, 2023.</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2023, we repurchased 868,726 and 1,802,311 shares under the program at an aggregate cost of $6.3 million and $12.1 million, respectively.</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changes in cash and cash equivalents for the nine months ended September 30,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212,692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(286,505)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$5.2 million decrease in operating cash flows during the nine months ended September 30, 2024 as compared to the same period in 2023 was primarily due to decreased oil and gas sales and higher interest expense affecting net income. This was offset in part by net cash provided by operating activities which included a benefit of $10.4 million and a reduction of $2.9 million for the nine months ended September 30, 2024 and 2023, respectively, associated with changes in working capital items. Changes in working capital items adjust for the timing of receipts and payments of actual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our net cash used in investing activities was $233.6 million, which consisted primarily of $193.4 million of capital expenditures used in the development of oil and natural gas properties and $52.0 million of acquisitions of oil and natural gas properties.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2023, our net cash used in investing activities was $286.5 million, which consisted primarily of $237.1 million of capital expenditures used in the development of oil and natural gas properties and $49.4 million of acquisitions of oil and natural gas properties.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our net cash provided by financing activities was $38.5 million, primarily due to $85.0 million of borrowings under our Credit Agreement, partially offset by $43.1 million of dividends paid on our common stock and $3.0 million of deferred financing costs.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2023, our net cash provided by financing activities was $29.1 million, primarily due to $85.0 million of net borrowings under our Credit Agreement, partially offset by $44.1 million of dividends paid on our common stock, and $11.8 million of common stock repurchases.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Granite Ridge Credit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24, 2022, Granite Ridge entered into a senior secured revolving credit agreement (as amended, the “Credit Agreement”) among Granite Ridge, as borrower, Texas Capital Bank, as administrative agent, and the lenders from time to time party thereto. The Credit Agreement has a maturity date of five years from the effective date thereof.</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 2024, the Company entered into the Resignation, Appointment, Assignment and Third Amendment to Credit Agreement (the “Third Amendment”) by and among the Company, as borrower, Texas Capital Bank, as resigning administrative agent, Bank of America, N.A. (“Bank of America”), as successor administrative agent, and the lenders from time to time party thereto. The Third Amendment, among other things, (a) appointed Bank of America as administrative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agent and L/C Issuer (as defined therein), replacing Texas Capital Bank, (b) increased the size of the lender group by adding nine new banks, with one bank exiting the facility, (c) increased the borrowing base from $275.0 million to $300.0 million, and (d) increased the aggregate elected commitments from $240.0 million to $300.0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2024, the Company had outstanding borrowings of $195.0 million and $0.3 million of outstanding letters of credit issued and outstanding under the Credit Agreement, resulting in availability of $104.7 million. The Credit Agreement is guaranteed by the restricted subsidiaries of Granite Ridge and is secured by a first priority mortgage and security interest in substantially all of the Company’s and its restricted subsidiaries’ assets.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 2024, the Company and its lenders entered into the Fourth Amendment to Credit Agreement, which amended the Credit Agreement to, among other things, increase the borrowing base and aggregate elected commitments from $300 million to $325 million. The borrowing base is redetermined semiannually on or about April 1 and October 1 of each calendar year, and is subject to additional adjustments from time to time, including for asset sales, elimination or reduction of hedge positions and incurrence of other debt.</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Borrowings under the Credit Agreement may be base rate loans or secured overnight financing rate (“SOFR”) loans. Interest is payable quarterly for base rate loans and at the end of the applicable interest period for SOFR loans. Prior to entry into the First Amendment to the Credit Agreement on November 7, 2023 (the “First Amendment”), SOFR loans accrued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accrued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150 to 250 basis points, depending on the percentage of the borrowing base utilized.</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result of the First Amendment, SOFR loans now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now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also pays a commitment fee on unused elected commitment amounts under its facility of 50 basis points. The Company may repay any amounts borrowed under the Credit Agreement prior to the maturity date without any premium or penalty.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Credit Agreement contains certain financial covenants, including the maintenance of the following financial ratios:</w:t>
      </w:r>
    </w:p>
    <w:p>
      <w:pPr>
        <w:spacing w:after="0" w:line="225" w:lineRule="exact"/>
        <w:rPr>
          <w:sz w:val="20"/>
          <w:szCs w:val="20"/>
          <w:color w:val="auto"/>
        </w:rPr>
      </w:pPr>
    </w:p>
    <w:p>
      <w:pPr>
        <w:ind w:left="980" w:hanging="648"/>
        <w:spacing w:after="0" w:line="282" w:lineRule="auto"/>
        <w:tabs>
          <w:tab w:leader="none" w:pos="9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ratio, which is the ratio of Consolidated Total Debt to EBITDAX (each as defined in the Credit Agreement), of not greater than 3.00 to 1.00 as of the last day of each fiscal quarter, and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Ratio (as defined in the Credit Agreement), of not less than 1.00 to 1.00 as of the last day of each fiscal quarter.</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Credit Agreement contains additional restrictive covenants that limit our ability and our restricted subsidiaries to, among other things, incur additional indebtedness, incur additional liens, enter into mergers and acquisitions, make or declare dividends, repurchase or redeem junior debt, make investments and loans, engage in transactions with affiliates, sell assets and enter into certain hedging transactions. In addition, the Credit Agreement is subject to customary events of default, including a change in control. If an event of default occurs and is continuing, the administrative agent may, with the consent of majority lenders, or shall, at the direction of the majority lenders, accelerate any amounts outstanding and terminate lender commitments.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2024, we were in compliance with all financial covenants required by the Credit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Known Contractual and Other Obligations; Planned Capital Expenditures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and Other Obligations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contractual obligations include long-term debt, cash interest expense on debt, derivative liabilities, asset retirement obligations and an annual service fee to the Manager. Since December 31, 2023, there have been no material changes in our contractual obligations, other than the $85.0 million increase in long-term debt due to borrowings under the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Planned Capital Expenditures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2024, we are budgeting for approximately $355 million to $365 million in total planned capital expenditures, including approximately $60 million of acquisitions of oil and natural gas properties. Our costs incurred on oil and natural gas properties, excluding acquisitions, during the three months ended September 30, 2024 and 2023 totaled $77.2 million and $75.7 million, respectively, and $206.8 million and $233.1 million during the nine months ended September 30, 2024 and 2023, respectively. Our capital expenditures for the nine months ended September 30, 2024 were primarily funded with cash flows from operations and borrowings under the Credit Agreement. We expect to fund planned capital expenditures with cash generated from operations and, if required, borrowings under our Credit Agreement.</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our expenditures for acquisitions of proved and unproved properties for the three and nine months ended September 30,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27,459</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Unproved</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0" w:type="dxa"/>
            <w:vAlign w:val="bottom"/>
          </w:tcPr>
          <w:p>
            <w:pPr>
              <w:spacing w:after="0"/>
              <w:rPr>
                <w:sz w:val="1"/>
                <w:szCs w:val="1"/>
                <w:color w:val="auto"/>
              </w:rPr>
            </w:pPr>
          </w:p>
        </w:tc>
      </w:tr>
      <w:tr>
        <w:trPr>
          <w:trHeight w:val="244"/>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acquisition costs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19,423</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Satisfaction of Our Cash Obligations for the Next Twelve Months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 and Pricing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oil and natural gas industry is typically very cyclical and the demand for goods and services of oilfield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a significant adverse impact to the financial condition and results of operations.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management’s opinion, the more significant reporting areas impacted by management’s judgments and estimates are the choice of accounting method for oil and natural gas activities, oil and natural gas reserve estimation, asset retirement obligations, revenue recognition, impairment of long-lived assets and valuation of financial derivatives.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procedures during the nine months ended September 30, 2024. See our disclosure of critical accounting policies in “Item 7. Management’s Discussion and Analysis of Financial Condition and Results of Operations” and “Item 8. Financial Statements and Supplementary Data” of our 2023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or Adopted Accounting Pronouncements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discussion of recently issued or adopted accounting pronouncements, see Note 2 of the Notes to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A 10% increase in average commodity prices would have decreased the fair value of commodity derivatives by $14.6 million at September 30, 2024. We may incur significant unrealized losses in the future from our use of derivative financial instruments to the extent market prices increase and our derivatives contracts remain in place.</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2024, our exposure to interest rate changes related primarily to the borrowings under the Credit Agreement. The interest we pay on these borrowings is set periodically based upon market rates. We had total indebtedness of $195.0 million outstanding under our Credit Agreement at September 30, 2024. The impact of a one percent increase in interest rates on this amount of debt would result in increased annual interest expense of approximately $2.0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September 30, 2024, our disclosure controls and procedures were effective at a level of reasonable assurance.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third quarter of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Company was not a party to any material legal proceedings during the three months ended September 30, 2024. In the future, the Company may be subject from time to time to litigation claims and governmental and regulatory proceedings arising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from those described in our 2023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79"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8572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47"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3.1</w:t>
      </w:r>
    </w:p>
    <w:p>
      <w:pPr>
        <w:spacing w:after="0" w:line="3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3.2</w:t>
      </w:r>
    </w:p>
    <w:p>
      <w:pPr>
        <w:spacing w:after="0" w:line="3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31.1*</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31.2*</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32.1*</w:t>
      </w: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101.INS*</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101.SCH*</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101.CAL*</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101.DEF*</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101.LAB*</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62147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61" w:lineRule="exact"/>
        <w:rPr>
          <w:sz w:val="20"/>
          <w:szCs w:val="20"/>
          <w:color w:val="auto"/>
        </w:rPr>
      </w:pPr>
    </w:p>
    <w:p>
      <w:pPr>
        <w:ind w:right="240"/>
        <w:spacing w:after="0" w:line="266" w:lineRule="auto"/>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Amended and Restated Certificate of Incorporation of Granite Ridge Resources, Inc. (incorporated by reference to Exhibit 3.1 to the</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Company’s Current Report on Form 8-K filed with the SEC on October 28, 2022).</w:t>
        </w:r>
      </w:hyperlink>
    </w:p>
    <w:p>
      <w:pPr>
        <w:spacing w:after="0" w:line="122" w:lineRule="exact"/>
        <w:rPr>
          <w:sz w:val="20"/>
          <w:szCs w:val="20"/>
          <w:color w:val="auto"/>
        </w:rPr>
      </w:pPr>
    </w:p>
    <w:p>
      <w:pPr>
        <w:ind w:right="220"/>
        <w:spacing w:after="0" w:line="266" w:lineRule="auto"/>
        <w:rPr>
          <w:rFonts w:ascii="Times New Roman" w:cs="Times New Roman" w:eastAsia="Times New Roman" w:hAnsi="Times New Roman"/>
          <w:sz w:val="18"/>
          <w:szCs w:val="18"/>
          <w:u w:val="single" w:color="auto"/>
          <w:color w:val="0000EE"/>
        </w:rPr>
      </w:pPr>
      <w:hyperlink r:id="rId66">
        <w:r>
          <w:rPr>
            <w:rFonts w:ascii="Times New Roman" w:cs="Times New Roman" w:eastAsia="Times New Roman" w:hAnsi="Times New Roman"/>
            <w:sz w:val="18"/>
            <w:szCs w:val="18"/>
            <w:u w:val="single" w:color="auto"/>
            <w:color w:val="0000EE"/>
          </w:rPr>
          <w:t>Amended and Restated Bylaws of Granite Ridge Resources, Inc. (incorporated by reference to Exhibit 3.2 to the Company’s Current</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Report on Form 8-K filed with the SEC on October 28, 2022).</w:t>
        </w:r>
      </w:hyperlink>
    </w:p>
    <w:p>
      <w:pPr>
        <w:spacing w:after="0" w:line="122" w:lineRule="exact"/>
        <w:rPr>
          <w:sz w:val="20"/>
          <w:szCs w:val="20"/>
          <w:color w:val="auto"/>
        </w:rPr>
      </w:pPr>
    </w:p>
    <w:p>
      <w:pPr>
        <w:ind w:right="180"/>
        <w:spacing w:after="0" w:line="258" w:lineRule="auto"/>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Fourth Amendment to Credit Agreement, dated as of November 1, 2024, by and among Granite Ridge Resources, Inc., as borrower,</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the guarantors party thereto, Bank of America, N.A., as administrative agent, and the lenders party thereto (incorporated by reference</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to Exhibit 10.1 to the Company’s Current Report on Form 8-K filed with the SEC on November 4, 2024).</w:t>
        </w:r>
      </w:hyperlink>
    </w:p>
    <w:p>
      <w:pPr>
        <w:spacing w:after="0" w:line="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Company’s Chief Executive Officer Pursuant to Section 302 of the Sarbanes Oxley Act of 2002.</w:t>
      </w:r>
    </w:p>
    <w:p>
      <w:pPr>
        <w:spacing w:after="0" w:line="15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Company’s Chief Financial Officer Pursuant to Section 302 of the Sarbanes Oxley Act of 2002.</w:t>
      </w:r>
    </w:p>
    <w:p>
      <w:pPr>
        <w:spacing w:after="0" w:line="158" w:lineRule="exact"/>
        <w:rPr>
          <w:rFonts w:ascii="Times New Roman" w:cs="Times New Roman" w:eastAsia="Times New Roman" w:hAnsi="Times New Roman"/>
          <w:sz w:val="18"/>
          <w:szCs w:val="18"/>
          <w:u w:val="single" w:color="auto"/>
          <w:color w:val="0000FF"/>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0000EE"/>
        </w:rPr>
        <w:t>Certification of the Company’s Chief Executive Officer and Chief Financial Officer Pursuant to Section 906 of the Sarbanes Oxley Act of 2002.</w:t>
      </w:r>
    </w:p>
    <w:p>
      <w:pPr>
        <w:spacing w:after="0" w:line="12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50"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50"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50"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p>
      <w:pPr>
        <w:spacing w:after="0" w:line="50"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50"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5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220" w:space="260"/>
            <w:col w:w="9760"/>
          </w:cols>
          <w:pgMar w:left="320" w:top="121" w:right="339" w:bottom="1440" w:gutter="0" w:footer="0" w:header="0"/>
          <w:type w:val="continuous"/>
        </w:sectPr>
      </w:pPr>
    </w:p>
    <w:p>
      <w:pPr>
        <w:ind w:left="540"/>
        <w:spacing w:after="0"/>
        <w:tabs>
          <w:tab w:leader="none" w:pos="14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11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7" w:lineRule="exact"/>
        <w:rPr>
          <w:rFonts w:ascii="Times New Roman" w:cs="Times New Roman" w:eastAsia="Times New Roman" w:hAnsi="Times New Roman"/>
          <w:sz w:val="18"/>
          <w:szCs w:val="18"/>
          <w:u w:val="single" w:color="auto"/>
          <w:color w:val="0000FF"/>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or furnished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0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tc>
      </w:tr>
      <w:tr>
        <w:trPr>
          <w:trHeight w:val="8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2024</w:t>
            </w:r>
          </w:p>
        </w:tc>
        <w:tc>
          <w:tcPr>
            <w:tcW w:w="22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LUKE C. BRANDENBERG</w:t>
            </w:r>
          </w:p>
        </w:tc>
      </w:tr>
      <w:tr>
        <w:trPr>
          <w:trHeight w:val="243"/>
        </w:trPr>
        <w:tc>
          <w:tcPr>
            <w:tcW w:w="31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Luke C. Brandenberg</w:t>
            </w:r>
          </w:p>
        </w:tc>
      </w:tr>
      <w:tr>
        <w:trPr>
          <w:trHeight w:val="257"/>
        </w:trPr>
        <w:tc>
          <w:tcPr>
            <w:tcW w:w="3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8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2024</w:t>
            </w:r>
          </w:p>
        </w:tc>
        <w:tc>
          <w:tcPr>
            <w:tcW w:w="22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TYLER S. FARQUHARSON</w:t>
            </w:r>
          </w:p>
        </w:tc>
      </w:tr>
      <w:tr>
        <w:trPr>
          <w:trHeight w:val="243"/>
        </w:trPr>
        <w:tc>
          <w:tcPr>
            <w:tcW w:w="31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Tyler S. Farquharson</w:t>
            </w:r>
          </w:p>
        </w:tc>
      </w:tr>
      <w:tr>
        <w:trPr>
          <w:trHeight w:val="257"/>
        </w:trPr>
        <w:tc>
          <w:tcPr>
            <w:tcW w:w="3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8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2024</w:t>
            </w:r>
          </w:p>
        </w:tc>
        <w:tc>
          <w:tcPr>
            <w:tcW w:w="22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KIMBERLY A. WEIMER</w:t>
            </w:r>
          </w:p>
        </w:tc>
      </w:tr>
      <w:tr>
        <w:trPr>
          <w:trHeight w:val="243"/>
        </w:trPr>
        <w:tc>
          <w:tcPr>
            <w:tcW w:w="31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Kimberly A. Weimer</w:t>
            </w:r>
          </w:p>
        </w:tc>
      </w:tr>
      <w:tr>
        <w:trPr>
          <w:trHeight w:val="257"/>
        </w:trPr>
        <w:tc>
          <w:tcPr>
            <w:tcW w:w="3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Luke C. Brandenberg,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Granite Ridge Resources,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0"/>
        <w:spacing w:after="0"/>
        <w:tabs>
          <w:tab w:leader="none" w:pos="5180" w:val="left"/>
          <w:tab w:leader="none" w:pos="6420" w:val="left"/>
        </w:tabs>
        <w:rPr>
          <w:sz w:val="20"/>
          <w:szCs w:val="20"/>
          <w:color w:val="auto"/>
        </w:rPr>
      </w:pPr>
      <w:r>
        <w:rPr>
          <w:rFonts w:ascii="Times New Roman" w:cs="Times New Roman" w:eastAsia="Times New Roman" w:hAnsi="Times New Roman"/>
          <w:sz w:val="18"/>
          <w:szCs w:val="18"/>
          <w:color w:val="auto"/>
        </w:rPr>
        <w:t>Dated: November 7, 2024</w:t>
      </w:r>
      <w:r>
        <w:rPr>
          <w:sz w:val="20"/>
          <w:szCs w:val="20"/>
          <w:color w:val="auto"/>
        </w:rPr>
        <w:tab/>
      </w:r>
      <w:r>
        <w:rPr>
          <w:rFonts w:ascii="Times New Roman" w:cs="Times New Roman" w:eastAsia="Times New Roman" w:hAnsi="Times New Roman"/>
          <w:sz w:val="20"/>
          <w:szCs w:val="20"/>
          <w:color w:val="auto"/>
        </w:rPr>
        <w:t>By: /s/</w:t>
      </w:r>
      <w:r>
        <w:rPr>
          <w:sz w:val="20"/>
          <w:szCs w:val="20"/>
          <w:color w:val="auto"/>
        </w:rPr>
        <w:tab/>
      </w:r>
      <w:r>
        <w:rPr>
          <w:rFonts w:ascii="Times New Roman" w:cs="Times New Roman" w:eastAsia="Times New Roman" w:hAnsi="Times New Roman"/>
          <w:sz w:val="19"/>
          <w:szCs w:val="19"/>
          <w:color w:val="auto"/>
        </w:rPr>
        <w:t>LUKE C. BRANDENBERG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31115</wp:posOffset>
            </wp:positionV>
            <wp:extent cx="38487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Luke C. Brandenberg</w:t>
      </w:r>
    </w:p>
    <w:p>
      <w:pPr>
        <w:spacing w:after="0" w:line="4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S. Farquharson,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Granite Ridge Resources,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0"/>
        <w:spacing w:after="0"/>
        <w:tabs>
          <w:tab w:leader="none" w:pos="5180" w:val="left"/>
          <w:tab w:leader="none" w:pos="6420" w:val="left"/>
        </w:tabs>
        <w:rPr>
          <w:sz w:val="20"/>
          <w:szCs w:val="20"/>
          <w:color w:val="auto"/>
        </w:rPr>
      </w:pPr>
      <w:r>
        <w:rPr>
          <w:rFonts w:ascii="Times New Roman" w:cs="Times New Roman" w:eastAsia="Times New Roman" w:hAnsi="Times New Roman"/>
          <w:sz w:val="18"/>
          <w:szCs w:val="18"/>
          <w:color w:val="auto"/>
        </w:rPr>
        <w:t>Dated: November 7, 2024</w:t>
      </w:r>
      <w:r>
        <w:rPr>
          <w:sz w:val="20"/>
          <w:szCs w:val="20"/>
          <w:color w:val="auto"/>
        </w:rPr>
        <w:tab/>
      </w:r>
      <w:r>
        <w:rPr>
          <w:rFonts w:ascii="Times New Roman" w:cs="Times New Roman" w:eastAsia="Times New Roman" w:hAnsi="Times New Roman"/>
          <w:sz w:val="20"/>
          <w:szCs w:val="20"/>
          <w:color w:val="auto"/>
        </w:rPr>
        <w:t>By: /s/</w:t>
      </w:r>
      <w:r>
        <w:rPr>
          <w:sz w:val="20"/>
          <w:szCs w:val="20"/>
          <w:color w:val="auto"/>
        </w:rPr>
        <w:tab/>
      </w:r>
      <w:r>
        <w:rPr>
          <w:rFonts w:ascii="Times New Roman" w:cs="Times New Roman" w:eastAsia="Times New Roman" w:hAnsi="Times New Roman"/>
          <w:sz w:val="19"/>
          <w:szCs w:val="19"/>
          <w:color w:val="auto"/>
        </w:rPr>
        <w:t>TYLER S.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31115</wp:posOffset>
            </wp:positionV>
            <wp:extent cx="38487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Tyler S. Farquharson</w:t>
      </w:r>
    </w:p>
    <w:p>
      <w:pPr>
        <w:spacing w:after="0" w:line="4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14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Granite Ridge Resources, Inc. (the “Company”) for the period ended September 30, 2024, as filed with the United States Securities and Exchange Commission on the date hereof (the “Report”), the undersigned officers of the Company hereby certify, pursuant to 18 U.S.C. Section 1350, as adopted pursuant to Section 906 of the Sarbanes-Oxley Act of 2002, that, to their knowledge:</w:t>
      </w:r>
    </w:p>
    <w:p>
      <w:pPr>
        <w:spacing w:after="0" w:line="176"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7, 2024</w:t>
            </w:r>
          </w:p>
        </w:tc>
        <w:tc>
          <w:tcPr>
            <w:tcW w:w="2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LUKE C. BRANDENBERG</w:t>
            </w:r>
          </w:p>
        </w:tc>
      </w:tr>
      <w:tr>
        <w:trPr>
          <w:trHeight w:val="243"/>
        </w:trPr>
        <w:tc>
          <w:tcPr>
            <w:tcW w:w="3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Luke C. Brandenberg</w:t>
            </w:r>
          </w:p>
        </w:tc>
      </w:tr>
      <w:tr>
        <w:trPr>
          <w:trHeight w:val="256"/>
        </w:trPr>
        <w:tc>
          <w:tcPr>
            <w:tcW w:w="32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53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7, 2024</w:t>
            </w:r>
          </w:p>
        </w:tc>
        <w:tc>
          <w:tcPr>
            <w:tcW w:w="21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TYLER S. FARQUHARSON</w:t>
            </w:r>
          </w:p>
        </w:tc>
      </w:tr>
      <w:tr>
        <w:trPr>
          <w:trHeight w:val="243"/>
        </w:trPr>
        <w:tc>
          <w:tcPr>
            <w:tcW w:w="3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Tyler S. Farquharson</w:t>
            </w:r>
          </w:p>
        </w:tc>
      </w:tr>
      <w:tr>
        <w:trPr>
          <w:trHeight w:val="257"/>
        </w:trPr>
        <w:tc>
          <w:tcPr>
            <w:tcW w:w="32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65" Type="http://schemas.openxmlformats.org/officeDocument/2006/relationships/hyperlink" Target="https://www.sec.gov/Archives/edgar/data/1928446/000110465922112452/tm2228430d2_ex3-1.htm" TargetMode="External"/><Relationship Id="rId66" Type="http://schemas.openxmlformats.org/officeDocument/2006/relationships/hyperlink" Target="https://www.sec.gov/Archives/edgar/data/1928446/000110465922112452/tm2228430d2_ex3-2.htm" TargetMode="External"/><Relationship Id="rId67" Type="http://schemas.openxmlformats.org/officeDocument/2006/relationships/hyperlink" Target="https://www.sec.gov/ix?doc=/Archives/edgar/data/0001928446/000110465924113901/tm2427360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2024-11-07T16:49:27Z</dcterms:created>
  <dcterms:modified xsi:type="dcterms:W3CDTF">2024-11-07T16:49:27Z</dcterms:modified>
</cp:coreProperties>
</file>