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June 30, 2024</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001-41537</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GRANITE RIDGE RESOURCES, INC.</w:t>
      </w:r>
    </w:p>
    <w:p>
      <w:pPr>
        <w:pStyle w:val="TextBody"/>
        <w:bidi w:val="0"/>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Exact Name of Registrant as Specified in Its Charter </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tbl>
      <w:tblPr>
        <w:tblW w:w="6088" w:type="dxa"/>
        <w:jc w:val="center"/>
        <w:tblInd w:w="0" w:type="dxa"/>
        <w:tblLayout w:type="fixed"/>
        <w:tblCellMar>
          <w:top w:w="28" w:type="dxa"/>
          <w:left w:w="28" w:type="dxa"/>
          <w:bottom w:w="28" w:type="dxa"/>
          <w:right w:w="28" w:type="dxa"/>
        </w:tblCellMar>
      </w:tblPr>
      <w:tblGrid>
        <w:gridCol w:w="809"/>
        <w:gridCol w:w="711"/>
        <w:gridCol w:w="715"/>
        <w:gridCol w:w="697"/>
        <w:gridCol w:w="697"/>
        <w:gridCol w:w="705"/>
        <w:gridCol w:w="511"/>
        <w:gridCol w:w="511"/>
        <w:gridCol w:w="732"/>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1311</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88-2227812</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br/>
              <w:t>Classification Code Number)</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bl>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5217 McKinney Ave, Suite 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Dallas, TX 75205</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(214) 396-2850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48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24"/>
        <w:gridCol w:w="424"/>
        <w:gridCol w:w="42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At August 5, 2024, there were 130,743,952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acts of war, terrorism or uncertainty regarding the effects and duration of global hostilities, including the Israel-Hamas conflict, the Russia-Ukraine war, continued instability in the Middle East, including from the Houthi rebels in Yemen, and any associated armed conflicts or related sanctions which may disrupt commodity prices and create instability in the financial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market conditions and global, regulatory, technical, and economic factors beyond Granite Ridge’s control, including the potential adverse effects of world health events, such as the COVID-19 pandemic, affecting capital markets, general economic conditions, global supply chains and Granite Ridge’s business and operations;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effective internal control over financial reporting;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discussed in our Annual Report on Form 10-K for the year ended December 31, 2023 (the "2023 Form 10-K") under “Risk Factors,” as updated by any subsequent Quarterly Reports on Form 10-Q, including this Report, which we file with the United States Securities and Exchange Commission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statements in “Item 1A. Risk Factors” of our 2023 Form 10-K and other sections of this Report, which describe factors that could cause our actual results to differ from those set forth in the forward-looking statements. Forward-looking statements speak only as of the date they are made. Our company does not undertake, and specifically disclaims, any obligation to update any forward-looking statements to reflect events or circumstances occurring after the date of such statements, other than as may be required by applicable law or regulation.</w:t>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5"/>
        <w:gridCol w:w="2174"/>
        <w:gridCol w:w="2189"/>
        <w:gridCol w:w="202"/>
        <w:gridCol w:w="202"/>
        <w:gridCol w:w="291"/>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7">
              <w:r>
                <w:rPr>
                  <w:rStyle w:val="InternetLink"/>
                  <w:rFonts w:ascii="Times New Roman;sans-serif" w:hAnsi="Times New Roman;sans-serif"/>
                  <w:b w:val="false"/>
                  <w:color w:val="0000FF"/>
                  <w:sz w:val="20"/>
                  <w:u w:val="single"/>
                </w:rPr>
                <w:t>CAUTIONARY NOTE REGARDING FORWARD-LOOKING STATEMENTS</w:t>
              </w:r>
            </w:hyperlink>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4cdbcccef2a4c85862937a0ed4cbeb7_7">
              <w:r>
                <w:rPr>
                  <w:rStyle w:val="InternetLink"/>
                  <w:rFonts w:ascii="Times New Roman;sans-serif" w:hAnsi="Times New Roman;sans-serif"/>
                  <w:b w:val="false"/>
                  <w:strike w:val="false"/>
                  <w:dstrike w:val="false"/>
                  <w:color w:val="000000"/>
                  <w:sz w:val="20"/>
                  <w:u w:val="none"/>
                  <w:effect w:val="none"/>
                </w:rPr>
                <w:t>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
              <w:r>
                <w:rPr>
                  <w:rStyle w:val="InternetLink"/>
                  <w:rFonts w:ascii="Times New Roman;sans-serif" w:hAnsi="Times New Roman;sans-serif"/>
                  <w:b w:val="false"/>
                  <w:color w:val="0000FF"/>
                  <w:sz w:val="20"/>
                  <w:u w:val="single"/>
                </w:rPr>
                <w:t>PART I – FINANCIAL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3">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6">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6">
              <w:r>
                <w:rPr>
                  <w:rStyle w:val="InternetLink"/>
                  <w:rFonts w:ascii="Times New Roman;sans-serif" w:hAnsi="Times New Roman;sans-serif"/>
                  <w:b w:val="false"/>
                  <w:color w:val="0000FF"/>
                  <w:sz w:val="20"/>
                  <w:u w:val="single"/>
                </w:rPr>
                <w:t>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6">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44cdbcccef2a4c85862937a0ed4cbeb7_19">
              <w:r>
                <w:rPr>
                  <w:rStyle w:val="InternetLink"/>
                  <w:rFonts w:ascii="Times New Roman;sans-serif" w:hAnsi="Times New Roman;sans-serif"/>
                  <w:b w:val="false"/>
                  <w:color w:val="0000FF"/>
                  <w:sz w:val="20"/>
                  <w:u w:val="single"/>
                </w:rPr>
                <w:t>Condensed Consolidated Balance Sheets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9">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44cdbcccef2a4c85862937a0ed4cbeb7_22">
              <w:r>
                <w:rPr>
                  <w:rStyle w:val="InternetLink"/>
                  <w:rFonts w:ascii="Times New Roman;sans-serif" w:hAnsi="Times New Roman;sans-serif"/>
                  <w:b w:val="false"/>
                  <w:color w:val="0000FF"/>
                  <w:sz w:val="20"/>
                  <w:u w:val="single"/>
                </w:rPr>
                <w:t>Condensed Consolidated Statements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22">
              <w:r>
                <w:rPr>
                  <w:rStyle w:val="InternetLink"/>
                  <w:rFonts w:ascii="Times New Roman;sans-serif" w:hAnsi="Times New Roman;sans-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44cdbcccef2a4c85862937a0ed4cbeb7_25">
              <w:r>
                <w:rPr>
                  <w:rStyle w:val="InternetLink"/>
                  <w:rFonts w:ascii="Times New Roman;sans-serif" w:hAnsi="Times New Roman;sans-serif"/>
                  <w:b w:val="false"/>
                  <w:color w:val="0000FF"/>
                  <w:sz w:val="20"/>
                  <w:u w:val="single"/>
                </w:rPr>
                <w:t>Condensed Consolidated Statements of Changes in Equity</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25">
              <w:r>
                <w:rPr>
                  <w:rStyle w:val="InternetLink"/>
                  <w:rFonts w:ascii="Times New Roman;sans-serif" w:hAnsi="Times New Roman;sans-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44cdbcccef2a4c85862937a0ed4cbeb7_28">
              <w:r>
                <w:rPr>
                  <w:rStyle w:val="InternetLink"/>
                  <w:rFonts w:ascii="Times New Roman;sans-serif" w:hAnsi="Times New Roman;sans-serif"/>
                  <w:b w:val="false"/>
                  <w:color w:val="0000FF"/>
                  <w:sz w:val="20"/>
                  <w:u w:val="single"/>
                </w:rPr>
                <w:t>Condensed Consolidated Statements of Cash Flows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28">
              <w:r>
                <w:rPr>
                  <w:rStyle w:val="InternetLink"/>
                  <w:rFonts w:ascii="Times New Roman;sans-serif" w:hAnsi="Times New Roman;sans-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44cdbcccef2a4c85862937a0ed4cbeb7_31">
              <w:r>
                <w:rPr>
                  <w:rStyle w:val="InternetLink"/>
                  <w:rFonts w:ascii="Times New Roman;sans-serif" w:hAnsi="Times New Roman;sans-serif"/>
                  <w:b w:val="false"/>
                  <w:color w:val="0000FF"/>
                  <w:sz w:val="20"/>
                  <w:u w:val="single"/>
                </w:rPr>
                <w:t>Notes to Condensed Consolidated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31">
              <w:r>
                <w:rPr>
                  <w:rStyle w:val="InternetLink"/>
                  <w:rFonts w:ascii="Times New Roman;sans-serif" w:hAnsi="Times New Roman;sans-serif"/>
                  <w:b w:val="false"/>
                  <w:strike w:val="false"/>
                  <w:dstrike w:val="false"/>
                  <w:color w:val="000000"/>
                  <w:sz w:val="20"/>
                  <w:u w:val="none"/>
                  <w:effect w:val="none"/>
                </w:rPr>
                <w:t>10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76">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44cdbcccef2a4c85862937a0ed4cbeb7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76">
              <w:r>
                <w:rPr>
                  <w:rStyle w:val="InternetLink"/>
                  <w:rFonts w:ascii="Times New Roman;sans-serif" w:hAnsi="Times New Roman;sans-serif"/>
                  <w:b w:val="false"/>
                  <w:strike w:val="false"/>
                  <w:dstrike w:val="false"/>
                  <w:color w:val="000000"/>
                  <w:sz w:val="20"/>
                  <w:u w:val="none"/>
                  <w:effect w:val="none"/>
                </w:rPr>
                <w:t>30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09">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09">
              <w:r>
                <w:rPr>
                  <w:rStyle w:val="InternetLink"/>
                  <w:rFonts w:ascii="Times New Roman;sans-serif" w:hAnsi="Times New Roman;sans-serif"/>
                  <w:b w:val="false"/>
                  <w:color w:val="0000FF"/>
                  <w:sz w:val="20"/>
                  <w:u w:val="single"/>
                </w:rPr>
                <w:t>Quantitative and Qualitative Disclosures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09">
              <w:r>
                <w:rPr>
                  <w:rStyle w:val="InternetLink"/>
                  <w:rFonts w:ascii="Times New Roman;sans-serif" w:hAnsi="Times New Roman;sans-serif"/>
                  <w:b w:val="false"/>
                  <w:strike w:val="false"/>
                  <w:dstrike w:val="false"/>
                  <w:color w:val="000000"/>
                  <w:sz w:val="20"/>
                  <w:u w:val="none"/>
                  <w:effect w:val="none"/>
                </w:rPr>
                <w:t>41</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12">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12">
              <w:r>
                <w:rPr>
                  <w:rStyle w:val="InternetLink"/>
                  <w:rFonts w:ascii="Times New Roman;sans-serif" w:hAnsi="Times New Roman;sans-serif"/>
                  <w:b w:val="false"/>
                  <w:color w:val="0000FF"/>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12">
              <w:r>
                <w:rPr>
                  <w:rStyle w:val="InternetLink"/>
                  <w:rFonts w:ascii="Times New Roman;sans-serif" w:hAnsi="Times New Roman;sans-serif"/>
                  <w:b w:val="false"/>
                  <w:strike w:val="false"/>
                  <w:dstrike w:val="false"/>
                  <w:color w:val="000000"/>
                  <w:sz w:val="20"/>
                  <w:u w:val="none"/>
                  <w:effect w:val="none"/>
                </w:rPr>
                <w:t>42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15">
              <w:r>
                <w:rPr>
                  <w:rStyle w:val="InternetLink"/>
                  <w:rFonts w:ascii="Times New Roman;sans-serif" w:hAnsi="Times New Roman;sans-serif"/>
                  <w:b w:val="false"/>
                  <w:color w:val="0000FF"/>
                  <w:sz w:val="20"/>
                  <w:u w:val="single"/>
                </w:rPr>
                <w:t>PART II – 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15">
              <w:r>
                <w:rPr>
                  <w:rStyle w:val="InternetLink"/>
                  <w:rFonts w:ascii="Times New Roman;sans-serif" w:hAnsi="Times New Roman;sans-serif"/>
                  <w:b w:val="false"/>
                  <w:strike w:val="false"/>
                  <w:dstrike w:val="false"/>
                  <w:color w:val="000000"/>
                  <w:sz w:val="20"/>
                  <w:u w:val="none"/>
                  <w:effect w:val="none"/>
                </w:rPr>
                <w:t>42</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18">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18">
              <w:r>
                <w:rPr>
                  <w:rStyle w:val="InternetLink"/>
                  <w:rFonts w:ascii="Times New Roman;sans-serif" w:hAnsi="Times New Roman;sans-serif"/>
                  <w:b w:val="false"/>
                  <w:color w:val="0000FF"/>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18">
              <w:r>
                <w:rPr>
                  <w:rStyle w:val="InternetLink"/>
                  <w:rFonts w:ascii="Times New Roman;sans-serif" w:hAnsi="Times New Roman;sans-serif"/>
                  <w:b w:val="false"/>
                  <w:strike w:val="false"/>
                  <w:dstrike w:val="false"/>
                  <w:color w:val="000000"/>
                  <w:sz w:val="20"/>
                  <w:u w:val="none"/>
                  <w:effect w:val="none"/>
                </w:rPr>
                <w:t>42</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21">
              <w:r>
                <w:rPr>
                  <w:rStyle w:val="InternetLink"/>
                  <w:rFonts w:ascii="Times New Roman;sans-serif" w:hAnsi="Times New Roman;sans-serif"/>
                  <w:b w:val="false"/>
                  <w:color w:val="0000FF"/>
                  <w:sz w:val="20"/>
                  <w:u w:val="single"/>
                </w:rPr>
                <w:t>Item 1A.</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21">
              <w:r>
                <w:rPr>
                  <w:rStyle w:val="InternetLink"/>
                  <w:rFonts w:ascii="Times New Roman;sans-serif" w:hAnsi="Times New Roman;sans-serif"/>
                  <w:b w:val="false"/>
                  <w:color w:val="0000FF"/>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21">
              <w:r>
                <w:rPr>
                  <w:rStyle w:val="InternetLink"/>
                  <w:rFonts w:ascii="Times New Roman;sans-serif" w:hAnsi="Times New Roman;sans-serif"/>
                  <w:b w:val="false"/>
                  <w:strike w:val="false"/>
                  <w:dstrike w:val="false"/>
                  <w:color w:val="000000"/>
                  <w:sz w:val="20"/>
                  <w:u w:val="none"/>
                  <w:effect w:val="none"/>
                </w:rPr>
                <w:t>42</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24">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24">
              <w:r>
                <w:rPr>
                  <w:rStyle w:val="InternetLink"/>
                  <w:rFonts w:ascii="Times New Roman;sans-serif" w:hAnsi="Times New Roman;sans-serif"/>
                  <w:b w:val="false"/>
                  <w:color w:val="0000FF"/>
                  <w:sz w:val="20"/>
                  <w:u w:val="single"/>
                </w:rPr>
                <w:t>Unregistered Sales of Equity Securities and Use of Proceeds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24">
              <w:r>
                <w:rPr>
                  <w:rStyle w:val="InternetLink"/>
                  <w:rFonts w:ascii="Times New Roman;sans-serif" w:hAnsi="Times New Roman;sans-serif"/>
                  <w:b w:val="false"/>
                  <w:strike w:val="false"/>
                  <w:dstrike w:val="false"/>
                  <w:color w:val="000000"/>
                  <w:sz w:val="20"/>
                  <w:u w:val="none"/>
                  <w:effect w:val="none"/>
                </w:rPr>
                <w:t>43</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27">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27">
              <w:r>
                <w:rPr>
                  <w:rStyle w:val="InternetLink"/>
                  <w:rFonts w:ascii="Times New Roman;sans-serif" w:hAnsi="Times New Roman;sans-serif"/>
                  <w:b w:val="false"/>
                  <w:color w:val="0000FF"/>
                  <w:sz w:val="20"/>
                  <w:u w:val="single"/>
                </w:rPr>
                <w:t>Defaults Upon Senior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27">
              <w:r>
                <w:rPr>
                  <w:rStyle w:val="InternetLink"/>
                  <w:rFonts w:ascii="Times New Roman;sans-serif" w:hAnsi="Times New Roman;sans-serif"/>
                  <w:b w:val="false"/>
                  <w:strike w:val="false"/>
                  <w:dstrike w:val="false"/>
                  <w:color w:val="000000"/>
                  <w:sz w:val="20"/>
                  <w:u w:val="none"/>
                  <w:effect w:val="none"/>
                </w:rPr>
                <w:t>43</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0">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0">
              <w:r>
                <w:rPr>
                  <w:rStyle w:val="InternetLink"/>
                  <w:rFonts w:ascii="Times New Roman;sans-serif" w:hAnsi="Times New Roman;sans-serif"/>
                  <w:b w:val="false"/>
                  <w:color w:val="0000FF"/>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30">
              <w:r>
                <w:rPr>
                  <w:rStyle w:val="InternetLink"/>
                  <w:rFonts w:ascii="Times New Roman;sans-serif" w:hAnsi="Times New Roman;sans-serif"/>
                  <w:b w:val="false"/>
                  <w:strike w:val="false"/>
                  <w:dstrike w:val="false"/>
                  <w:color w:val="000000"/>
                  <w:sz w:val="20"/>
                  <w:u w:val="none"/>
                  <w:effect w:val="none"/>
                </w:rPr>
                <w:t>43</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3">
              <w:r>
                <w:rPr>
                  <w:rStyle w:val="InternetLink"/>
                  <w:rFonts w:ascii="Times New Roman;sans-serif" w:hAnsi="Times New Roman;sans-serif"/>
                  <w:b w:val="false"/>
                  <w:color w:val="0000FF"/>
                  <w:sz w:val="20"/>
                  <w:u w:val="single"/>
                </w:rPr>
                <w:t>Item 5.</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3">
              <w:r>
                <w:rPr>
                  <w:rStyle w:val="InternetLink"/>
                  <w:rFonts w:ascii="Times New Roman;sans-serif" w:hAnsi="Times New Roman;sans-serif"/>
                  <w:b w:val="false"/>
                  <w:color w:val="0000FF"/>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33">
              <w:r>
                <w:rPr>
                  <w:rStyle w:val="InternetLink"/>
                  <w:rFonts w:ascii="Times New Roman;sans-serif" w:hAnsi="Times New Roman;sans-serif"/>
                  <w:b w:val="false"/>
                  <w:strike w:val="false"/>
                  <w:dstrike w:val="false"/>
                  <w:color w:val="000000"/>
                  <w:sz w:val="20"/>
                  <w:u w:val="none"/>
                  <w:effect w:val="none"/>
                </w:rPr>
                <w:t>43</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6">
              <w:r>
                <w:rPr>
                  <w:rStyle w:val="InternetLink"/>
                  <w:rFonts w:ascii="Times New Roman;sans-serif" w:hAnsi="Times New Roman;sans-serif"/>
                  <w:b w:val="false"/>
                  <w:color w:val="0000FF"/>
                  <w:sz w:val="20"/>
                  <w:u w:val="single"/>
                </w:rPr>
                <w:t>Item 6.</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6">
              <w:r>
                <w:rPr>
                  <w:rStyle w:val="InternetLink"/>
                  <w:rFonts w:ascii="Times New Roman;sans-serif" w:hAnsi="Times New Roman;sans-serif"/>
                  <w:b w:val="false"/>
                  <w:color w:val="0000FF"/>
                  <w:sz w:val="20"/>
                  <w:u w:val="single"/>
                </w:rPr>
                <w:t>Exhibits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36">
              <w:r>
                <w:rPr>
                  <w:rStyle w:val="InternetLink"/>
                  <w:rFonts w:ascii="Times New Roman;sans-serif" w:hAnsi="Times New Roman;sans-serif"/>
                  <w:b w:val="false"/>
                  <w:strike w:val="false"/>
                  <w:dstrike w:val="false"/>
                  <w:color w:val="000000"/>
                  <w:sz w:val="20"/>
                  <w:u w:val="none"/>
                  <w:effect w:val="none"/>
                </w:rPr>
                <w:t>43</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cdbcccef2a4c85862937a0ed4cbeb7_139">
              <w:r>
                <w:rPr>
                  <w:rStyle w:val="InternetLink"/>
                  <w:rFonts w:ascii="Times New Roman;sans-serif" w:hAnsi="Times New Roman;sans-serif"/>
                  <w:b w:val="false"/>
                  <w:color w:val="0000FF"/>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dbcccef2a4c85862937a0ed4cbeb7_139">
              <w:r>
                <w:rPr>
                  <w:rStyle w:val="InternetLink"/>
                  <w:rFonts w:ascii="Times New Roman;sans-serif" w:hAnsi="Times New Roman;sans-serif"/>
                  <w:b w:val="false"/>
                  <w:strike w:val="false"/>
                  <w:dstrike w:val="false"/>
                  <w:color w:val="000000"/>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59"/>
        <w:gridCol w:w="2274"/>
        <w:gridCol w:w="2290"/>
        <w:gridCol w:w="205"/>
        <w:gridCol w:w="772"/>
        <w:gridCol w:w="113"/>
        <w:gridCol w:w="109"/>
        <w:gridCol w:w="109"/>
        <w:gridCol w:w="109"/>
        <w:gridCol w:w="245"/>
        <w:gridCol w:w="923"/>
        <w:gridCol w:w="197"/>
      </w:tblGrid>
      <w:tr>
        <w:trPr/>
        <w:tc>
          <w:tcPr>
            <w:tcW w:w="2859"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data)</w:t>
            </w:r>
          </w:p>
        </w:tc>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72,934 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151,552 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gas properties, successful efforts method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1,384,375 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1,236,683 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834,909 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769,542 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assets:</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990,490 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927,104 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62,079 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retirement obligations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73,989 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193,380 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325,169 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255,459 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431,000,000 shares authorized, 136,424,207 and 136,040,777 issued at June 30, 2024 and December 31, 2023,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654,269 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653,174 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5,680,255 and 5,677,627 shares at June 30, 2024 and December 31, 2023,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665,321 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990,490 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927,104 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63"/>
        <w:gridCol w:w="1366"/>
        <w:gridCol w:w="137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206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of 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(including non-cash stock-based compensation of $583 and $1,095 for the three and six months ended June 30,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derivatives - commodity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derivatives -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132,933</w:t>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132,941</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49"/>
        <w:gridCol w:w="490"/>
        <w:gridCol w:w="491"/>
        <w:gridCol w:w="229"/>
        <w:gridCol w:w="229"/>
        <w:gridCol w:w="233"/>
        <w:gridCol w:w="124"/>
        <w:gridCol w:w="124"/>
        <w:gridCol w:w="124"/>
        <w:gridCol w:w="327"/>
        <w:gridCol w:w="181"/>
        <w:gridCol w:w="183"/>
        <w:gridCol w:w="109"/>
        <w:gridCol w:w="109"/>
        <w:gridCol w:w="109"/>
        <w:gridCol w:w="412"/>
        <w:gridCol w:w="344"/>
        <w:gridCol w:w="347"/>
        <w:gridCol w:w="109"/>
        <w:gridCol w:w="109"/>
        <w:gridCol w:w="109"/>
        <w:gridCol w:w="366"/>
        <w:gridCol w:w="308"/>
        <w:gridCol w:w="303"/>
        <w:gridCol w:w="109"/>
        <w:gridCol w:w="109"/>
        <w:gridCol w:w="109"/>
        <w:gridCol w:w="300"/>
        <w:gridCol w:w="285"/>
        <w:gridCol w:w="199"/>
        <w:gridCol w:w="109"/>
        <w:gridCol w:w="109"/>
        <w:gridCol w:w="109"/>
        <w:gridCol w:w="196"/>
        <w:gridCol w:w="675"/>
        <w:gridCol w:w="109"/>
        <w:gridCol w:w="109"/>
        <w:gridCol w:w="109"/>
        <w:gridCol w:w="109"/>
        <w:gridCol w:w="222"/>
        <w:gridCol w:w="835"/>
        <w:gridCol w:w="185"/>
      </w:tblGrid>
      <w:tr>
        <w:trPr/>
        <w:tc>
          <w:tcPr>
            <w:tcW w:w="74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674,018 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(14,381)</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665,321</w:t>
            </w:r>
          </w:p>
        </w:tc>
      </w:tr>
    </w:tbl>
    <w:tbl>
      <w:tblPr>
        <w:tblW w:w="10205" w:type="dxa"/>
        <w:jc w:val="left"/>
        <w:tblInd w:w="0" w:type="dxa"/>
        <w:tblLayout w:type="fixed"/>
        <w:tblCellMar>
          <w:top w:w="28" w:type="dxa"/>
          <w:left w:w="28" w:type="dxa"/>
          <w:bottom w:w="28" w:type="dxa"/>
          <w:right w:w="28" w:type="dxa"/>
        </w:tblCellMar>
      </w:tblPr>
      <w:tblGrid>
        <w:gridCol w:w="785"/>
        <w:gridCol w:w="532"/>
        <w:gridCol w:w="533"/>
        <w:gridCol w:w="229"/>
        <w:gridCol w:w="229"/>
        <w:gridCol w:w="233"/>
        <w:gridCol w:w="127"/>
        <w:gridCol w:w="127"/>
        <w:gridCol w:w="127"/>
        <w:gridCol w:w="327"/>
        <w:gridCol w:w="181"/>
        <w:gridCol w:w="183"/>
        <w:gridCol w:w="109"/>
        <w:gridCol w:w="109"/>
        <w:gridCol w:w="109"/>
        <w:gridCol w:w="412"/>
        <w:gridCol w:w="344"/>
        <w:gridCol w:w="347"/>
        <w:gridCol w:w="109"/>
        <w:gridCol w:w="109"/>
        <w:gridCol w:w="109"/>
        <w:gridCol w:w="355"/>
        <w:gridCol w:w="298"/>
        <w:gridCol w:w="303"/>
        <w:gridCol w:w="109"/>
        <w:gridCol w:w="109"/>
        <w:gridCol w:w="109"/>
        <w:gridCol w:w="226"/>
        <w:gridCol w:w="226"/>
        <w:gridCol w:w="196"/>
        <w:gridCol w:w="113"/>
        <w:gridCol w:w="113"/>
        <w:gridCol w:w="113"/>
        <w:gridCol w:w="327"/>
        <w:gridCol w:w="291"/>
        <w:gridCol w:w="296"/>
        <w:gridCol w:w="109"/>
        <w:gridCol w:w="109"/>
        <w:gridCol w:w="109"/>
        <w:gridCol w:w="534"/>
        <w:gridCol w:w="360"/>
        <w:gridCol w:w="430"/>
      </w:tblGrid>
      <w:tr>
        <w:trPr/>
        <w:tc>
          <w:tcPr>
            <w:tcW w:w="78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8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133,477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645,057</w:t>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w:t>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w:t>
            </w:r>
          </w:p>
        </w:tc>
        <w:tc>
          <w:tcPr>
            <w:tcW w:w="296"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w:t>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(14,623)</w:t>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warrant exchange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16,957</w:t>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8,737</w:t>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135,949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652,325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3"/>
        <w:gridCol w:w="506"/>
        <w:gridCol w:w="508"/>
        <w:gridCol w:w="229"/>
        <w:gridCol w:w="229"/>
        <w:gridCol w:w="233"/>
        <w:gridCol w:w="126"/>
        <w:gridCol w:w="126"/>
        <w:gridCol w:w="126"/>
        <w:gridCol w:w="327"/>
        <w:gridCol w:w="181"/>
        <w:gridCol w:w="183"/>
        <w:gridCol w:w="109"/>
        <w:gridCol w:w="109"/>
        <w:gridCol w:w="109"/>
        <w:gridCol w:w="196"/>
        <w:gridCol w:w="736"/>
        <w:gridCol w:w="109"/>
        <w:gridCol w:w="109"/>
        <w:gridCol w:w="109"/>
        <w:gridCol w:w="109"/>
        <w:gridCol w:w="367"/>
        <w:gridCol w:w="309"/>
        <w:gridCol w:w="303"/>
        <w:gridCol w:w="109"/>
        <w:gridCol w:w="109"/>
        <w:gridCol w:w="109"/>
        <w:gridCol w:w="300"/>
        <w:gridCol w:w="285"/>
        <w:gridCol w:w="199"/>
        <w:gridCol w:w="109"/>
        <w:gridCol w:w="109"/>
        <w:gridCol w:w="109"/>
        <w:gridCol w:w="196"/>
        <w:gridCol w:w="676"/>
        <w:gridCol w:w="109"/>
        <w:gridCol w:w="109"/>
        <w:gridCol w:w="109"/>
        <w:gridCol w:w="109"/>
        <w:gridCol w:w="223"/>
        <w:gridCol w:w="841"/>
        <w:gridCol w:w="184"/>
      </w:tblGrid>
      <w:tr>
        <w:trPr/>
        <w:tc>
          <w:tcPr>
            <w:tcW w:w="7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7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136,041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($0.22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(28,729)</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21,327</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665,321</w:t>
            </w:r>
          </w:p>
        </w:tc>
      </w:tr>
    </w:tbl>
    <w:tbl>
      <w:tblPr>
        <w:tblW w:w="10205" w:type="dxa"/>
        <w:jc w:val="left"/>
        <w:tblInd w:w="0" w:type="dxa"/>
        <w:tblLayout w:type="fixed"/>
        <w:tblCellMar>
          <w:top w:w="28" w:type="dxa"/>
          <w:left w:w="28" w:type="dxa"/>
          <w:bottom w:w="28" w:type="dxa"/>
          <w:right w:w="28" w:type="dxa"/>
        </w:tblCellMar>
      </w:tblPr>
      <w:tblGrid>
        <w:gridCol w:w="767"/>
        <w:gridCol w:w="511"/>
        <w:gridCol w:w="512"/>
        <w:gridCol w:w="229"/>
        <w:gridCol w:w="229"/>
        <w:gridCol w:w="233"/>
        <w:gridCol w:w="126"/>
        <w:gridCol w:w="126"/>
        <w:gridCol w:w="126"/>
        <w:gridCol w:w="327"/>
        <w:gridCol w:w="181"/>
        <w:gridCol w:w="183"/>
        <w:gridCol w:w="115"/>
        <w:gridCol w:w="115"/>
        <w:gridCol w:w="116"/>
        <w:gridCol w:w="412"/>
        <w:gridCol w:w="344"/>
        <w:gridCol w:w="347"/>
        <w:gridCol w:w="115"/>
        <w:gridCol w:w="115"/>
        <w:gridCol w:w="116"/>
        <w:gridCol w:w="367"/>
        <w:gridCol w:w="309"/>
        <w:gridCol w:w="303"/>
        <w:gridCol w:w="115"/>
        <w:gridCol w:w="115"/>
        <w:gridCol w:w="116"/>
        <w:gridCol w:w="195"/>
        <w:gridCol w:w="195"/>
        <w:gridCol w:w="196"/>
        <w:gridCol w:w="124"/>
        <w:gridCol w:w="115"/>
        <w:gridCol w:w="113"/>
        <w:gridCol w:w="327"/>
        <w:gridCol w:w="289"/>
        <w:gridCol w:w="297"/>
        <w:gridCol w:w="115"/>
        <w:gridCol w:w="115"/>
        <w:gridCol w:w="116"/>
        <w:gridCol w:w="540"/>
        <w:gridCol w:w="366"/>
        <w:gridCol w:w="432"/>
      </w:tblGrid>
      <w:tr>
        <w:trPr/>
        <w:tc>
          <w:tcPr>
            <w:tcW w:w="76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r>
      <w:tr>
        <w:trPr/>
        <w:tc>
          <w:tcPr>
            <w:tcW w:w="1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Adoption of ASU No. 2016 -13 (Note 2) </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As of January 1, 2023 </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w:t>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32,270</w:t>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622,286</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Grants of restricted stock </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vesting shares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shares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1,434</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w:t>
            </w:r>
          </w:p>
        </w:tc>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($0.22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warrant exchange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16,956</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16,957 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45,603 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135,949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609,909</w:t>
            </w:r>
          </w:p>
        </w:tc>
        <w:tc>
          <w:tcPr>
            <w:tcW w:w="3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48,610</w:t>
            </w:r>
          </w:p>
        </w:tc>
        <w:tc>
          <w:tcPr>
            <w:tcW w:w="3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w:t>
            </w:r>
          </w:p>
        </w:tc>
        <w:tc>
          <w:tcPr>
            <w:tcW w:w="3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w:t>
            </w:r>
          </w:p>
        </w:tc>
        <w:tc>
          <w:tcPr>
            <w:tcW w:w="3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652,325</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29" w:type="dxa"/>
        <w:jc w:val="left"/>
        <w:tblInd w:w="0" w:type="dxa"/>
        <w:tblLayout w:type="fixed"/>
        <w:tblCellMar>
          <w:top w:w="28" w:type="dxa"/>
          <w:left w:w="28" w:type="dxa"/>
          <w:bottom w:w="28" w:type="dxa"/>
          <w:right w:w="28" w:type="dxa"/>
        </w:tblCellMar>
      </w:tblPr>
      <w:tblGrid>
        <w:gridCol w:w="2128"/>
        <w:gridCol w:w="1874"/>
        <w:gridCol w:w="1878"/>
        <w:gridCol w:w="196"/>
        <w:gridCol w:w="646"/>
        <w:gridCol w:w="109"/>
        <w:gridCol w:w="109"/>
        <w:gridCol w:w="109"/>
        <w:gridCol w:w="109"/>
        <w:gridCol w:w="196"/>
        <w:gridCol w:w="721"/>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 of unproved properties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derivatives - commodity derivatives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receipts from commodity derivatives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Amortization of deferred financing costs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derivatives -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equity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attributable to 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for oil and natural gas properties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oil and natural gas properties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advances to operators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on credit facilities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 on credit facilities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expenses related to formation of Granite Ridge Resources, Inc.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activities: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property development costs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 applied to development of oil and natural gas properties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included in other long-term assets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color w:val="000000"/>
          <w:sz w:val="20"/>
        </w:rPr>
        <w:t>The accompanying notes are an integral part to these condensed consolidated financial statements.</w:t>
      </w:r>
      <w:r>
        <w:rPr>
          <w:rFonts w:ascii="Georgia;serif" w:hAnsi="Georgia;serif"/>
          <w:b w:val="false"/>
          <w:color w:val="C0C0C0"/>
          <w:sz w:val="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 (together with its consolidated subsidiaries, “Granite Ridge” or the “Company”) is a Delaware corporation, initially formed in May 2022, whose common stock is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the Business Combination closed and was accounted for as a reverse recapitalization and Grey Rock Energy Fund III (as defined below) was determined to be the accounting acquirer and Predecessor (as defined below).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distribution (the “Sponsor Share Cancellation”) and (iii) all shares of ENPC Class B common stock outstanding were deemed transferred to ENPC and surrendered and forfeited for no consideration (the “ENPC Class B Contribution”). In January 2023, 220,348 of the 371,518 shares subject to vesting and forfeiture provisions under the terms of the Sponsor Agreement were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sans-serif" w:hAnsi="Times New Roman;sans-serif"/>
          <w:b w:val="false"/>
          <w:color w:val="000000"/>
          <w:sz w:val="10"/>
        </w:rPr>
        <w:t>TM</w:t>
      </w:r>
      <w:r>
        <w:rPr>
          <w:color w:val="000000"/>
        </w:rPr>
        <w:t xml:space="preserve"> </w:t>
      </w:r>
      <w:r>
        <w:rPr>
          <w:rFonts w:ascii="Times New Roman;sans-serif" w:hAnsi="Times New Roman;sans-serif"/>
          <w:b w:val="false"/>
          <w:color w:val="000000"/>
          <w:sz w:val="20"/>
        </w:rPr>
        <w:t xml:space="preserve">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governing such warrants to permit the Company to require that each warrant that remained outstanding upon the closing of the Offer be exchanged for 0.225 shares of the Company’s common stock (together with the Offer, the “Warrant Exchange”).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complete discussion of the Company’s significant accounting policies is included in the 2023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Resources, Inc.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conformity with accounting principles generally accepted in the United States of America (“U.S. GAAP”). The Company operates in one operating segment, which is oil and natural gas development, exploration and production. All of our operations are conducted in the geographic area of the United States. The Company's chief operating decision maker manages operations on a consolidated basis for purposes of evaluating operations and allocating resources.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Reserve engineering is a subjective process of estimating underground accumulations of oil and natural gas that are difficult to measure. The accuracy of any reserve estimate is a function of the quality of available data, engineering and geological interpretation and judgment. Estimates of economically recoverable oil and natural gas reserves and future net cash flows necessarily depend upon a number of variable factors and assumptions, such as historical production from the area compared with production from other producing areas, the assumed effect of regulations by governmental agencies, and assumptions governing future oil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natural gas prices, future operating costs, severance taxes, development costs and workover costs, all of which may in fact vary considerably from actual results. The future drilling costs associated with reserves assigned to proved undeveloped locations may ultimately increase to the extent that these reserves are later to be determined to be uneconomic. For these reasons, estimates of the economically recoverable quantities of expected oil and natural gas attributable to any particular group of properties, classifications of such reserves based on risk of recovery, and estimates of the future net cash flows may vary substantially.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to conform to the current period presentation.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Interim Financial Statements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have not been audited by the Company’s independent registered public accounting firm, except that the condensed consolidated balance sheet at December 31, 2023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In preparing the accompanying condensed consolidated financial statements, management has made certain estimates and assumptions that affect reported amounts in the condensed consolidated financial statements. Actual results may differ from those estimates. The results for interim periods are not necessarily indicative of annual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2023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Receivable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typically received from the operator one to three months after production. The Company had an allowance for expected credit losses of $0.2 million at June 30, 2024 and $0.2 million at December 31, 2023, which was based on a historical loss rate.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 to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drilling of oil and natural gas wells with other working interest partners. Due to the capital-intensive nature of oil and natural gas drilling activities, our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natural gas properties on the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Properties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uses the successful efforts method of accounting for oil and gas producing activities, as further defined under Accounting Standards Codification ("ASC") 932, </w:t>
      </w:r>
      <w:r>
        <w:rPr>
          <w:rFonts w:ascii="Times New Roman;sans-serif" w:hAnsi="Times New Roman;sans-serif"/>
          <w:b w:val="false"/>
          <w:i/>
          <w:color w:val="000000"/>
          <w:sz w:val="20"/>
        </w:rPr>
        <w:t>Extractive Activities - Oil and Gas</w:t>
      </w:r>
      <w:r>
        <w:rPr>
          <w:color w:val="000000"/>
        </w:rPr>
        <w:t xml:space="preserve"> </w:t>
      </w:r>
      <w:r>
        <w:rPr>
          <w:rFonts w:ascii="Times New Roman;sans-serif" w:hAnsi="Times New Roman;sans-serif"/>
          <w:b w:val="false"/>
          <w:color w:val="000000"/>
          <w:sz w:val="20"/>
        </w:rPr>
        <w:t>(“ASC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$41.4 million and $34.8 million for the three months ended June 30, 2024 and 2023, respectively, and $82.2 million and $68.6 million for the six months ended June 30, 2024 and 2023,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as determined by discounted future cash flows using a discount rate similar to that used by market participants, or comparable market value if available, is recognized at that time. Estimating future cash flows involves the use of judgments, including estimation of the proved and risk-adjusted unproved oil and natural gas reserve quantities, timing of development and production, expected future commodity prices, capital expenditures and production costs and cash flows from integrated assets. There was no proved property impairment recorded for the three or six months ended June 30, 2024 or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did not record any unproved property impairment for the three months ended June 30, 2024 but recorded unproved property impairment of $0.7 million for the six months ended June 30, 2024 in the Permian Basin as the operator no longer intends to drill certain locations. There was no unproved property impairment recorded for the three or six months ended June 30,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Commodity Derivatives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its derivative instruments as either assets or liabilities measured at fair value. The Company nets the fair value of the derivative instruments by counterparty in the accompanying condensed consolidated balance sheets when the right of offset exists. The Company does not have any derivatives designated as fair value or cash flow hedges.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Common Stock Warrants</w:t>
      </w:r>
    </w:p>
    <w:p>
      <w:pPr>
        <w:pStyle w:val="TextBody"/>
        <w:bidi w:val="0"/>
        <w:spacing w:lineRule="auto" w:line="288" w:before="240" w:after="283"/>
        <w:jc w:val="both"/>
        <w:rPr/>
      </w:pPr>
      <w:r>
        <w:rPr>
          <w:rFonts w:ascii="Times New Roman;sans-serif" w:hAnsi="Times New Roman;sans-serif"/>
          <w:b w:val="false"/>
          <w:color w:val="000000"/>
          <w:sz w:val="20"/>
        </w:rPr>
        <w:t xml:space="preserve">Prior to the Warrant Exchange, the Company accounted for warrants as liability-classified instruments based on an assessment of the warrant’s specific terms and applicable authoritative guidance in ASC Topic 480, </w:t>
      </w:r>
      <w:r>
        <w:rPr>
          <w:rFonts w:ascii="Times New Roman;sans-serif" w:hAnsi="Times New Roman;sans-serif"/>
          <w:b w:val="false"/>
          <w:i/>
          <w:color w:val="000000"/>
          <w:sz w:val="20"/>
        </w:rPr>
        <w:t>Distinguishing Liabilities from Equity</w:t>
      </w:r>
      <w:r>
        <w:rPr>
          <w:color w:val="000000"/>
        </w:rPr>
        <w:t xml:space="preserve"> </w:t>
      </w:r>
      <w:r>
        <w:rPr>
          <w:rFonts w:ascii="Times New Roman;sans-serif" w:hAnsi="Times New Roman;sans-serif"/>
          <w:b w:val="false"/>
          <w:color w:val="000000"/>
          <w:sz w:val="20"/>
        </w:rPr>
        <w:t xml:space="preserve">(“ASC 480”) and ASC Topic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815”). The warrants were required to be recorded at their initial fair value on the date of issuance and each balance sheet date thereafter. Changes in the estimated fair value of the warrants were recognized as a non-operating gain or loss in the condensed consolidated statements of operations. For the period during which the Company’s common stock was publicly traded, the fair value of the warrants was based on quoted prices in an active market.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2023, the Company issued 2,471,738 shares of common stock in exchange for 9,887,035 warrants tendered in the Offer. In July 2023, each remaining outstanding warrant was converted into 0.225 shares of the Company’s common stock, and subsequently, no warrants remained outstanding. See Note 9 for further discussion of the Warrant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completed the sale of certain of its Permian Basin assets to Vital Energy, Inc. ("Vital Energy") for consideration of 561,752 shares of Vital Energy's common stock and 541,155 shares of Vital Energy's 2.0% cumulative mandatorily convertible preferred securities. On June 4, 2024, the 2.0% cumulative mandatorily convertible preferred securities were converted into the equivalent number of shares of Vital Energy’s common stock. As a result, as of June 30, 2024, the Company held 1,102,907 shares of Vital Energy’s common stock.</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follows the guidance in ASC 321, </w:t>
      </w:r>
      <w:r>
        <w:rPr>
          <w:rFonts w:ascii="Times New Roman;sans-serif" w:hAnsi="Times New Roman;sans-serif"/>
          <w:b w:val="false"/>
          <w:i/>
          <w:color w:val="000000"/>
          <w:sz w:val="20"/>
        </w:rPr>
        <w:t>Investments - Equity Securities</w:t>
      </w:r>
      <w:r>
        <w:rPr>
          <w:color w:val="000000"/>
        </w:rPr>
        <w:t xml:space="preserve"> </w:t>
      </w:r>
      <w:r>
        <w:rPr>
          <w:rFonts w:ascii="Times New Roman;sans-serif" w:hAnsi="Times New Roman;sans-serif"/>
          <w:b w:val="false"/>
          <w:color w:val="000000"/>
          <w:sz w:val="20"/>
        </w:rPr>
        <w:t>("ASC 321") for its investment in the common and preferred stock of Vital Energy. ASC 321 requires equity investments with readily determinable fair values to be measured at fair value, with unrealized holding gains and losses recorded as a gain or loss on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periods until the preferred stock was converted into common stock. For the three and six months ended June 30, 2024, an unrealized loss of $8.8 million and $1.0 million, respectively, is included in the condensed consolidated statements of operations that reflects the change in fair value of the common and preferred stock.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pPr>
      <w:r>
        <w:rPr>
          <w:rFonts w:ascii="Times New Roman;sans-serif" w:hAnsi="Times New Roman;sans-serif"/>
          <w:b w:val="false"/>
          <w:i/>
          <w:color w:val="000000"/>
          <w:sz w:val="20"/>
        </w:rPr>
        <w:t>Non-operated Crude Oil and Natural Gas Revenues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transportation and production tax costs incurred by the operator, if any.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Take in Kind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arrangements, the Company has the right to take a volume of processed residue gas and/or natural gas liquids (“NGLs”) in kind at the tailgate of the midstream customer’s processing plant in lieu of receiving a net payment from the operator representing its proportionate share of its natural gas production. The Company currently takes certain processed gas volumes in kind in lieu of monetary settlement but does not currently take NGL volumes in kind. When the Company elects to take volumes in kind, it pays third parties to transport the processed products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processed products to downstream customers are recorded in lease operating expenses on the condensed consolidated statements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disaggregated revenue has two primary sources: oil sales and natural gas sales. Substantially all of the Company’s oil and natural gas sales come from five geographic areas in the United States: the Eagle Ford Basin (Texas), the Permian Basin (Texas/New Mexico), the Haynesville Basin (Texas/Louisiana), the Denver-Julesburg “DJ” Basin (Colorado), and the Bakken Basin (Montana/North Dakota). The following tables present the disaggregation of the Company’s oil revenues and natural gas revenues by basin for the three and six months ended June 30, 2024 and 2023.</w:t>
      </w:r>
    </w:p>
    <w:tbl>
      <w:tblPr>
        <w:tblW w:w="6524" w:type="dxa"/>
        <w:jc w:val="left"/>
        <w:tblInd w:w="0" w:type="dxa"/>
        <w:tblLayout w:type="fixed"/>
        <w:tblCellMar>
          <w:top w:w="28" w:type="dxa"/>
          <w:left w:w="28" w:type="dxa"/>
          <w:bottom w:w="28" w:type="dxa"/>
          <w:right w:w="28" w:type="dxa"/>
        </w:tblCellMar>
      </w:tblPr>
      <w:tblGrid>
        <w:gridCol w:w="407"/>
        <w:gridCol w:w="358"/>
        <w:gridCol w:w="35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recognized in the Company’s condensed consolidated financial statements on an accelerated basis over the awards’ vesting periods based on their grant date fair values. Restricted stock awards are valued at the closing price of the Company's common stock on the date of grant. The Company utilizes the Monte Carlo simulation method to determine the fair value of certain performance stock units (“PSUs”), the Black-Scholes model for options issued at-the-money, and a binomial lattice model for other stock options. The Company recognizes forfeitures of stock-based compensation awards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 (Issued and Not Yet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No. 2023-07, "Segment Reporting (Topic 280): Improvements to Reportable Segment Disclosures," ("ASU 2023-07") which requires public entities, including public entities with a single reportable segment, to disclose significant segment expenses and other segment items on an annual and interim basis and to provide in interim periods all disclosures about a reportable segment’s profit or loss and assets that are currently required annually. ASU 2023-07 was effective for annual periods beginning after December 15, 2023, and is effective for interim periods within fiscal years beginning after December 15, 2024. Early adoption is permitted. The Company is currently assessing the effect that ASU 2023-07 will have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is effective for annual periods beginning after December 15, 2024. Early adoption is permitted. The Company has not early adopted the standard and is currently assessing the effect that ASU 2023-09 will have on its disclosures.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 (Issued and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issued ASU No. 2016-13, “Financial Instruments — Credit Losses (Topic 326): Measurement of Credit Losses on Financial Instruments” which replaced the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condensed consolidated financial statements or related disclosures. Revenue receivables is the primary financial asset that is within the scope of the new guidance. A loss-rate method is applied to the receivables to estimate credit losses. The Company recognized a tax-effected $0.1 million non-cash cumulative effect adjustment to retained earnings on its opening consolidated balance sheet at January 1, 2023 to record an allowance for expected credit losses associated with the Company’s revenue receivables.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FASB issued ASU No. 2022-03, “Fair Value Measurement of Equity Securities Subject to Contractual Sale Restrictions,” ("ASU 2022-03") which clarifies that a contractual restriction on the sale of an equity security is not considered part of the unit of account of the equity security and, therefore, is not considered in measuring fair value. ASU 2022-03 also clarifies that an entity cannot, as a separate unit of account, recognize and measure a contractual sale restriction and requires specific disclosures for equity securities subject to contractual sale restrictions such as the fair value of equity securities subject to contractual sale restrictions, the nature and remaining duration of the restrictions and the circumstances that could cause a lapse in the restriction. ASU 2022-03 was effective for fiscal years, and interim periods within those fiscal years, beginning after December 15, 2023, with early application permitted. The adoption of ASU 2022-03 did not have a significant impact on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swap contract allows the Company to receive a fixed price and pay a floating market price to the counterparty for the hedged commodity.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master netting agreements on individual derivative instruments with its counterparties and therefore certain amounts may be presented on a net basis in the condensed consolidated balance sheets.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Derivative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Company’s outstanding commodity derivative contracts as of June 30, 2024. </w:t>
      </w:r>
    </w:p>
    <w:tbl>
      <w:tblPr>
        <w:tblW w:w="9244" w:type="dxa"/>
        <w:jc w:val="left"/>
        <w:tblInd w:w="0" w:type="dxa"/>
        <w:tblLayout w:type="fixed"/>
        <w:tblCellMar>
          <w:top w:w="28" w:type="dxa"/>
          <w:left w:w="28" w:type="dxa"/>
          <w:bottom w:w="28" w:type="dxa"/>
          <w:right w:w="28" w:type="dxa"/>
        </w:tblCellMar>
      </w:tblPr>
      <w:tblGrid>
        <w:gridCol w:w="1456"/>
        <w:gridCol w:w="932"/>
        <w:gridCol w:w="941"/>
        <w:gridCol w:w="260"/>
        <w:gridCol w:w="760"/>
        <w:gridCol w:w="134"/>
        <w:gridCol w:w="109"/>
        <w:gridCol w:w="109"/>
        <w:gridCol w:w="109"/>
        <w:gridCol w:w="284"/>
        <w:gridCol w:w="829"/>
        <w:gridCol w:w="146"/>
        <w:gridCol w:w="109"/>
        <w:gridCol w:w="109"/>
        <w:gridCol w:w="109"/>
        <w:gridCol w:w="211"/>
        <w:gridCol w:w="616"/>
        <w:gridCol w:w="109"/>
        <w:gridCol w:w="211"/>
        <w:gridCol w:w="616"/>
        <w:gridCol w:w="109"/>
        <w:gridCol w:w="235"/>
        <w:gridCol w:w="569"/>
        <w:gridCol w:w="172"/>
      </w:tblGrid>
      <w:tr>
        <w:trPr/>
        <w:tc>
          <w:tcPr>
            <w:tcW w:w="14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2024</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r>
      <w:tr>
        <w:trPr/>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(oil)</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673,048</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716,739</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(oil)</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295,769</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($/Bbl)</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(natural gas)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1,615,000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8,728,829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7,171,176</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6,015,540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1,612,050</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reported in the condensed consolidated statements of operations related to the commodity derivative instruments for the three and six months ended June 30, 2024 and 2023:</w:t>
      </w:r>
    </w:p>
    <w:tbl>
      <w:tblPr>
        <w:tblW w:w="8220" w:type="dxa"/>
        <w:jc w:val="left"/>
        <w:tblInd w:w="0" w:type="dxa"/>
        <w:tblLayout w:type="fixed"/>
        <w:tblCellMar>
          <w:top w:w="28" w:type="dxa"/>
          <w:left w:w="28" w:type="dxa"/>
          <w:bottom w:w="28" w:type="dxa"/>
          <w:right w:w="28" w:type="dxa"/>
        </w:tblCellMar>
      </w:tblPr>
      <w:tblGrid>
        <w:gridCol w:w="1146"/>
        <w:gridCol w:w="1008"/>
        <w:gridCol w:w="1011"/>
        <w:gridCol w:w="211"/>
        <w:gridCol w:w="541"/>
        <w:gridCol w:w="109"/>
        <w:gridCol w:w="109"/>
        <w:gridCol w:w="109"/>
        <w:gridCol w:w="109"/>
        <w:gridCol w:w="211"/>
        <w:gridCol w:w="796"/>
        <w:gridCol w:w="109"/>
        <w:gridCol w:w="109"/>
        <w:gridCol w:w="109"/>
        <w:gridCol w:w="109"/>
        <w:gridCol w:w="211"/>
        <w:gridCol w:w="691"/>
        <w:gridCol w:w="109"/>
        <w:gridCol w:w="109"/>
        <w:gridCol w:w="109"/>
        <w:gridCol w:w="109"/>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net cash receipts (payments on) commodity derivatives for the three and six months ended June 30, 2024 and 2023:</w:t>
      </w:r>
    </w:p>
    <w:tbl>
      <w:tblPr>
        <w:tblW w:w="10180" w:type="dxa"/>
        <w:jc w:val="left"/>
        <w:tblInd w:w="0" w:type="dxa"/>
        <w:tblLayout w:type="fixed"/>
        <w:tblCellMar>
          <w:top w:w="28" w:type="dxa"/>
          <w:left w:w="28" w:type="dxa"/>
          <w:bottom w:w="28" w:type="dxa"/>
          <w:right w:w="28" w:type="dxa"/>
        </w:tblCellMar>
      </w:tblPr>
      <w:tblGrid>
        <w:gridCol w:w="1819"/>
        <w:gridCol w:w="1600"/>
        <w:gridCol w:w="160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09"/>
        <w:gridCol w:w="109"/>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in connection with the Business Combination, the Company issued 10,349,975 common stock warrants. Each warrant entitled the holder to purchase one share of Granite Ridge’s common stock at an exercise price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$11.50 per share. The common stock warrants became exercisable 30 days after the completion of the Business Combination and 461 common stock warrants were exercised during the period they were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loss of $11.0 million and $5.7 million during the three and six months ended June 30, 2023, respectively, from the change in fair value of the warrant liability in the condensed consolidated statements of operations.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The warrants exchanged in the Offer were marked to fair value on the date of settlement, and the liability of $17.0 million and $0.7 million related to the exchanged common stock warrants was removed from the consolidated balance sheet in June 2023 and July 2023, respectively, and the issuance of shares of the Company’s common stock was reflected in stockholders’ equity. See Note 9 for further discussion of the Warrant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adopted and follows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and fair values of the Company’s financial instruments as of June 30, 2024 and December 31, 2023:</w:t>
      </w:r>
    </w:p>
    <w:tbl>
      <w:tblPr>
        <w:tblW w:w="9798" w:type="dxa"/>
        <w:jc w:val="left"/>
        <w:tblInd w:w="0" w:type="dxa"/>
        <w:tblLayout w:type="fixed"/>
        <w:tblCellMar>
          <w:top w:w="28" w:type="dxa"/>
          <w:left w:w="28" w:type="dxa"/>
          <w:bottom w:w="28" w:type="dxa"/>
          <w:right w:w="28" w:type="dxa"/>
        </w:tblCellMar>
      </w:tblPr>
      <w:tblGrid>
        <w:gridCol w:w="1443"/>
        <w:gridCol w:w="1270"/>
        <w:gridCol w:w="1277"/>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w:t>
            </w:r>
            <w:r>
              <w:rPr>
                <w:rFonts w:ascii="Times New Roman;sans-serif" w:hAnsi="Times New Roman;sans-serif"/>
                <w:b/>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instruments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Revolving credit facilities</w:t>
      </w:r>
      <w:r>
        <w:rPr>
          <w:color w:val="000000"/>
        </w:rPr>
        <w:t xml:space="preserve"> — </w:t>
      </w:r>
      <w:r>
        <w:rPr>
          <w:rFonts w:ascii="Times New Roman;sans-serif" w:hAnsi="Times New Roman;sans-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ans-serif" w:hAnsi="Times New Roman;sans-serif"/>
          <w:b w:val="false"/>
          <w:i/>
          <w:color w:val="000000"/>
          <w:sz w:val="20"/>
        </w:rPr>
        <w:t>Other financial assets and liabilities</w:t>
      </w:r>
      <w:r>
        <w:rPr>
          <w:color w:val="000000"/>
        </w:rPr>
        <w:t xml:space="preserve"> — </w:t>
      </w:r>
      <w:r>
        <w:rPr>
          <w:rFonts w:ascii="Times New Roman;sans-serif" w:hAnsi="Times New Roman;sans-serif"/>
          <w:b w:val="false"/>
          <w:color w:val="000000"/>
          <w:sz w:val="20"/>
        </w:rPr>
        <w:t>The carrying amounts of the Company’s other financial assets and liabilities, such as revenue receivable and accrued expenses due to sellers, approximate their fair values because of the short maturity of these instruments.</w:t>
      </w:r>
    </w:p>
    <w:p>
      <w:pPr>
        <w:pStyle w:val="TextBody"/>
        <w:bidi w:val="0"/>
        <w:spacing w:lineRule="auto" w:line="288" w:before="240" w:after="283"/>
        <w:jc w:val="both"/>
        <w:rPr/>
      </w:pP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commodity derivatives</w:t>
      </w:r>
      <w:r>
        <w:rPr>
          <w:color w:val="000000"/>
        </w:rPr>
        <w:t xml:space="preserve"> — </w:t>
      </w:r>
      <w:r>
        <w:rPr>
          <w:rFonts w:ascii="Times New Roman;sans-serif" w:hAnsi="Times New Roman;sans-serif"/>
          <w:b w:val="false"/>
          <w:color w:val="000000"/>
          <w:sz w:val="20"/>
        </w:rPr>
        <w:t xml:space="preserve">The fair value of the Company’s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ans-serif" w:hAnsi="Times New Roman;sans-serif"/>
          <w:b w:val="false"/>
          <w:i/>
          <w:color w:val="000000"/>
          <w:sz w:val="20"/>
        </w:rPr>
        <w:t>Equity investment</w:t>
      </w:r>
      <w:r>
        <w:rPr>
          <w:rFonts w:ascii="Times New Roman;sans-serif" w:hAnsi="Times New Roman;sans-serif"/>
          <w:b w:val="false"/>
          <w:color w:val="000000"/>
          <w:sz w:val="20"/>
        </w:rPr>
        <w:t xml:space="preserve">s — The fair value of the Company’s investment in Vital Energy's common stock was valued using the instrument's publicly listed trading price, which is considered to be a Level 1 measurement due to the use of an observable market quote in an active market. Prior to conversion, the fair value of the Company's investment in Vital Energy's preferred stock was estimated by management considering various factors, including the publicly listed trading price of Vital Energy's common shares and the present value of expected dividends. The fair value of the investment in preferred stock was considered to be a Level 2 measurement. Substantially all of these inputs are observable in the marketplace throughout the full term of the instrument, can be derived from observable data, or are supported by observable levels at which transactions are executed in the marketplace.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4, 2024, the 2.0% cumulative mandatorily convertible preferred securities of Vital Energy were converted into 541,155 shares of common stock of Vital Energy. Prior to this conversion, the common shares of Vital Energy owned by the Company were not entitled to vote and bore a restricted legend to that effect. As of June 30, 2024, the Company held 1,102,907 shares of Vital Energy’s common stock, for which the fair value is a Level 1 measurement as of June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June 30, 2024 and December 31, 2023.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775"/>
        <w:gridCol w:w="648"/>
        <w:gridCol w:w="631"/>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721"/>
        <w:gridCol w:w="109"/>
        <w:gridCol w:w="109"/>
        <w:gridCol w:w="109"/>
        <w:gridCol w:w="109"/>
        <w:gridCol w:w="292"/>
        <w:gridCol w:w="875"/>
        <w:gridCol w:w="151"/>
        <w:gridCol w:w="109"/>
        <w:gridCol w:w="109"/>
        <w:gridCol w:w="109"/>
        <w:gridCol w:w="280"/>
        <w:gridCol w:w="963"/>
        <w:gridCol w:w="211"/>
      </w:tblGrid>
      <w:tr>
        <w:trPr/>
        <w:tc>
          <w:tcPr>
            <w:tcW w:w="77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4"/>
        <w:gridCol w:w="628"/>
        <w:gridCol w:w="61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88"/>
        <w:gridCol w:w="862"/>
        <w:gridCol w:w="149"/>
        <w:gridCol w:w="109"/>
        <w:gridCol w:w="109"/>
        <w:gridCol w:w="109"/>
        <w:gridCol w:w="276"/>
        <w:gridCol w:w="947"/>
        <w:gridCol w:w="207"/>
      </w:tblGrid>
      <w:tr>
        <w:trPr/>
        <w:tc>
          <w:tcPr>
            <w:tcW w:w="7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Acquisitions and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2024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 Company acquired various oil and natural gas properties, all of which qualified as asset acquisitions. These included the following transactions: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six months ended June 30, 2024, the Company closed on various acquisitions, including unproved oil and natural gas properties for a total purchase price of $12.1 million, and proved oil and natural gas properties for a total purchase price of $3.4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DJ Basin - During the six months ended June 30, 2024, the Company closed on an acquisition of unproved oil and natural gas properties for a total purchase price of $5.3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Appalachia Basin - During the six months ended June 30, 2024, the Company acquired unproved oil and natural gas properties for a total purchase price of $1.2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first half of the year, the Company recorded closing adjustments that reduced the acquisition price of business combinations completed during 2023 by $1.1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Divestitures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six months ended June 30, 2024, the Company sold a partial interest in certain proved and unproved properties in exchange for $2.9 million in cash.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acquired various oil and natural gas properties. Acquisitions during the six months ended June 30, 2023 qualified as asset acquisitions. These included the following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six months ended June 30, 2023, the Company closed on various acquisitions of unproved oil and natural gas properties for a total purchase price of $11.5 million in the Permian Basin.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DJ Basin - During the six months ended June 30, 2023, the Company closed on an acquisition of proved developed producing oil and natural gas properties in the DJ Basin. As consideration for the entire acquisition, the Company paid $16.6 million in cash, after closing adjustments, of which $1.9 million was held in escrow and paid during 2022. Asset retirement obligations acquired were $0.9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Eagle Ford Basin - During the six months ended June 30, 2023, the Company acquired proved oil and natural gas properties in the Eagle Ford Basin for $0.5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Haynesville Basin - During the six months ended June 30, 2023, the Company acquired various proved and unproved oil and natural gas properties in the Haynesville Basin for $2.1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Granite Ridge Resources, Inc. 2022 Omnibus Incentive Plan (the “Plan”) provides the Company the ability to grant, among other award types, stock options, restricted stock awards, and PSUs to directors, officers, employees and consultants or advisors employed by or providing service to the Company.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2024, the Company granted restricted stock awards, stock options, and PSUs. During the first quarter of 2023, the Company granted restricted stock awards, fully vested stock awards, stock options, and PSUs. Stock-based compensation expense during the three and six months ended June 30, 2024 was $0.6 million and $1.1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respectively. Stock-based compensation expense during the three and six months ended June 30, 2023 was $0.4 million and $1.4 million, respectively.</w:t>
      </w:r>
    </w:p>
    <w:p>
      <w:pPr>
        <w:pStyle w:val="TextBody"/>
        <w:bidi w:val="0"/>
        <w:spacing w:lineRule="auto" w:line="288" w:before="240" w:after="283"/>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 xml:space="preserve">- The Company has granted restricted stock awards to certain of its employees and consultants under the Plan.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The holders of unvested restricted stock awards have voting rights and the right to receive dividends. The restricted stock awards generally vest ratably over a period of three years. The Company recognizes compensation expense utilizing graded vesting whereby compensation expense is recognized over the service period for each separately vesting tranche. </w:t>
      </w:r>
    </w:p>
    <w:p>
      <w:pPr>
        <w:pStyle w:val="TextBody"/>
        <w:bidi w:val="0"/>
        <w:spacing w:lineRule="auto" w:line="288" w:before="240" w:after="283"/>
        <w:jc w:val="both"/>
        <w:rPr/>
      </w:pPr>
      <w:r>
        <w:rPr>
          <w:rFonts w:ascii="Times New Roman;sans-serif" w:hAnsi="Times New Roman;sans-serif"/>
          <w:b w:val="false"/>
          <w:i/>
          <w:color w:val="000000"/>
          <w:sz w:val="20"/>
        </w:rPr>
        <w:t>PSUs</w:t>
      </w:r>
      <w:r>
        <w:rPr>
          <w:color w:val="000000"/>
        </w:rPr>
        <w:t xml:space="preserve"> </w:t>
      </w:r>
      <w:r>
        <w:rPr>
          <w:rFonts w:ascii="Times New Roman;sans-serif" w:hAnsi="Times New Roman;sans-serif"/>
          <w:b w:val="false"/>
          <w:color w:val="000000"/>
          <w:sz w:val="20"/>
        </w:rPr>
        <w:t xml:space="preserve">- The Company has granted PSUs to certain of its officers under the Plan. The PSUs cliff vest at the end of three years, generally subject to continued employment through 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achieved by the Company compared to a predetermined group of peer companies at the end of the applicable performance period. Individual performance criteria are based on the officers' performance relative to individual performance goals at the end of the performance period. The Company utilizes the Monte Carlo simulation method to determine the fair value of the PSUs based on market performance, while the PSUs based on financial performance are valued based on the closing price of the Company's common stock on the date of grant. </w:t>
      </w:r>
    </w:p>
    <w:p>
      <w:pPr>
        <w:pStyle w:val="TextBody"/>
        <w:bidi w:val="0"/>
        <w:spacing w:lineRule="auto" w:line="288" w:before="240" w:after="283"/>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The Company has granted stock options to certain of its officers under the Plan. The Company's outstanding stock options expire in 10 years 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During the first quarter of 2024, the Company granted 134,375 stock options with an exercise price of $6.06 per share. During the first quarter of 2023, the Company granted 72,108 stock options with an exercise price per share of $5.02 and 320,000 stock options with an exercise price per share of $9.22.</w:t>
      </w:r>
    </w:p>
    <w:p>
      <w:pPr>
        <w:pStyle w:val="TextBody"/>
        <w:bidi w:val="0"/>
        <w:spacing w:lineRule="auto" w:line="288" w:before="240" w:after="283"/>
        <w:jc w:val="both"/>
        <w:rPr/>
      </w:pPr>
      <w:r>
        <w:rPr>
          <w:rFonts w:ascii="Times New Roman;sans-serif" w:hAnsi="Times New Roman;sans-serif"/>
          <w:b w:val="false"/>
          <w:i/>
          <w:color w:val="000000"/>
          <w:sz w:val="20"/>
        </w:rPr>
        <w:t xml:space="preserve">Stock Awards </w:t>
      </w:r>
      <w:r>
        <w:rPr>
          <w:rFonts w:ascii="Times New Roman;sans-serif" w:hAnsi="Times New Roman;sans-serif"/>
          <w:b w:val="false"/>
          <w:color w:val="000000"/>
          <w:sz w:val="20"/>
        </w:rPr>
        <w:t>- The Company may issue other awards to its employees and consultants under the Plan. During the first quarter of 2023, the Company issued 94,007 fully vested stock awards as other awards to certain of its employees and consultants under the Plan. Weighted average grant date fair value of other awards was $8.51.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six months ended June 30, 2024 is presented below:</w:t>
      </w:r>
    </w:p>
    <w:tbl>
      <w:tblPr>
        <w:tblW w:w="10205" w:type="dxa"/>
        <w:jc w:val="left"/>
        <w:tblInd w:w="0" w:type="dxa"/>
        <w:tblLayout w:type="fixed"/>
        <w:tblCellMar>
          <w:top w:w="28" w:type="dxa"/>
          <w:left w:w="28" w:type="dxa"/>
          <w:bottom w:w="28" w:type="dxa"/>
          <w:right w:w="28" w:type="dxa"/>
        </w:tblCellMar>
      </w:tblPr>
      <w:tblGrid>
        <w:gridCol w:w="1460"/>
        <w:gridCol w:w="1281"/>
        <w:gridCol w:w="1288"/>
        <w:gridCol w:w="533"/>
        <w:gridCol w:w="1138"/>
        <w:gridCol w:w="243"/>
        <w:gridCol w:w="141"/>
        <w:gridCol w:w="141"/>
        <w:gridCol w:w="141"/>
        <w:gridCol w:w="505"/>
        <w:gridCol w:w="1226"/>
        <w:gridCol w:w="263"/>
        <w:gridCol w:w="141"/>
        <w:gridCol w:w="141"/>
        <w:gridCol w:w="141"/>
        <w:gridCol w:w="367"/>
        <w:gridCol w:w="808"/>
        <w:gridCol w:w="247"/>
      </w:tblGrid>
      <w:tr>
        <w:trPr/>
        <w:tc>
          <w:tcPr>
            <w:tcW w:w="146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42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42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295,990 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 (2)</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9"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4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526,483 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share/unit</w:t>
            </w:r>
          </w:p>
        </w:tc>
        <w:tc>
          <w:tcPr>
            <w:tcW w:w="5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restricted stock and PSUs vested during the period. During the six months ended June 30, 2024, 175,493 stock options vested. As of June 30, 2024, there were a total of 306,195 stock options exercisable.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six months ended June 30, 2023 is presented below:</w:t>
      </w:r>
    </w:p>
    <w:tbl>
      <w:tblPr>
        <w:tblW w:w="10205" w:type="dxa"/>
        <w:jc w:val="left"/>
        <w:tblInd w:w="0" w:type="dxa"/>
        <w:tblLayout w:type="fixed"/>
        <w:tblCellMar>
          <w:top w:w="28" w:type="dxa"/>
          <w:left w:w="28" w:type="dxa"/>
          <w:bottom w:w="28" w:type="dxa"/>
          <w:right w:w="28" w:type="dxa"/>
        </w:tblCellMar>
      </w:tblPr>
      <w:tblGrid>
        <w:gridCol w:w="1504"/>
        <w:gridCol w:w="1320"/>
        <w:gridCol w:w="1328"/>
        <w:gridCol w:w="513"/>
        <w:gridCol w:w="1141"/>
        <w:gridCol w:w="244"/>
        <w:gridCol w:w="134"/>
        <w:gridCol w:w="134"/>
        <w:gridCol w:w="134"/>
        <w:gridCol w:w="500"/>
        <w:gridCol w:w="1214"/>
        <w:gridCol w:w="261"/>
        <w:gridCol w:w="134"/>
        <w:gridCol w:w="134"/>
        <w:gridCol w:w="134"/>
        <w:gridCol w:w="349"/>
        <w:gridCol w:w="788"/>
        <w:gridCol w:w="239"/>
      </w:tblGrid>
      <w:tr>
        <w:trPr/>
        <w:tc>
          <w:tcPr>
            <w:tcW w:w="150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261,406 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share/unit</w:t>
            </w:r>
          </w:p>
        </w:tc>
        <w:tc>
          <w:tcPr>
            <w:tcW w:w="5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restricted stock and PSUs vested during the period. During the six months ended June 30, 2023, 130,702 stock options vested and were exercisable as of June 30, 2023.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became the sole owner of GREP. GREP is a disregarded entity for U.S. federal income tax purposes. As a result of the Business Combination, the Funds' net assets were transferred to the Company resulting in carryover tax basis of those assets. The Company is a C corporation and subject to U.S. federal income tax and state and local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income taxes through the use of an estimated annual effective tax rate and specific events that are discretely recognized as they occur. For the three and six months ended June 30, 2024, the Company recorded income tax expense of $1.7 million and $6.5 million, respectively. For the three and six months ended June 30, 2023, the Company recorded income tax expense of $4.1 million and $14.9 million, respectively.</w:t>
      </w:r>
    </w:p>
    <w:p>
      <w:pPr>
        <w:pStyle w:val="TextBody"/>
        <w:bidi w:val="0"/>
        <w:spacing w:lineRule="auto" w:line="288" w:before="240" w:after="283"/>
        <w:jc w:val="both"/>
        <w:rPr/>
      </w:pPr>
      <w:r>
        <w:rPr>
          <w:rFonts w:ascii="Times New Roman;sans-serif" w:hAnsi="Times New Roman;sans-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24.8% and 23.4% for the three and six months ended June 30, 2024, respectively.</w:t>
      </w:r>
      <w:r>
        <w:rPr>
          <w:color w:val="000000"/>
          <w:shd w:fill="FFFFFF" w:val="clear"/>
        </w:rPr>
        <w:t xml:space="preserve"> </w:t>
      </w:r>
      <w:r>
        <w:rPr>
          <w:rFonts w:ascii="Times New Roman;sans-serif" w:hAnsi="Times New Roman;sans-serif"/>
          <w:b w:val="false"/>
          <w:color w:val="000000"/>
          <w:sz w:val="20"/>
          <w:shd w:fill="FFFFFF" w:val="clear"/>
        </w:rPr>
        <w:t>F</w:t>
      </w:r>
      <w:r>
        <w:rPr>
          <w:rFonts w:ascii="Times New Roman;sans-serif" w:hAnsi="Times New Roman;sans-serif"/>
          <w:b w:val="false"/>
          <w:color w:val="000000"/>
          <w:sz w:val="20"/>
        </w:rPr>
        <w:t xml:space="preserve">or the three and six months ended June 30, 2023, the Company’s effective income tax rate was 32.1% and 24.6%, respectively. </w:t>
      </w:r>
      <w:r>
        <w:rPr>
          <w:rFonts w:ascii="Times New Roman;sans-serif" w:hAnsi="Times New Roman;sans-serif"/>
          <w:b w:val="false"/>
          <w:color w:val="000000"/>
          <w:sz w:val="20"/>
          <w:shd w:fill="FFFFFF" w:val="clear"/>
        </w:rPr>
        <w:t>The effective tax rate differs from the enacted statutory rate of 21% primarily due to the impact of certain discrete items and state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all tax positions for which the statute of limitations remains open and believes that the material positions taken would more likely than not be sustained upon examination. Therefore, as of June 30, 2024 and December 31, 2023,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(the "IRA") was enacted into law and includes significant changes related to tax, climate change, energy and health care. The provisions within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was effective for tax years beginning after December 31, 2022. The Department of Treasury is expected to continue to publish regulations relevant to many aspects of the IRA. The Company currently does not believe that there will be a material impact on its cash taxes or income tax expense for the 2024 tax year or future periods but will continue to monitor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total debt was $165.0 million and $110.0 million at June 30, 2024 and December 31, 2023,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Granite Ridge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(as amended, the “Credit Agreement”) among Granite Ridge, as borrower, Texas Capital Bank, as administrative agent, and the lenders from time to time party thereto. The Credit Agreement has a maturity date of five years from the effective date thereof.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initially provided for aggregate elected commitments of $150.0 million, a borrowing base of $325.0 million and an aggregate maximum revolving credit amount of $1.0 billion. The borrowing base is redetermined semiannually on or about April 1 and October 1 of each calendar year, and is subject to additional adjustments from time to time, including for asset sales, elimination or reduction of hedge positions and incurrence of other debt. On November 7, 2023, Granite Ridge entered into a First Amendment to the Credit Agreement (the "First Amendment") which, among other things, decreased the borrowing base from $325.0 million to $275.0 million and increased the aggregate elected commitments from $150.0 million to $240.0 million. This borrowing base decrease was a result of the disposition of certain assets in the Permian Basin to Vital Energy.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(a) appointed Bank of America as administrative agent and L/C Issuer (as defined therein), replacing Texas Capital Bank, (b) increased the size of the lender group by adding nine new banks, with one bank exiting the facility, (c) increased the borrowing base from $275.0 million to $300.0 million, and (d) increased the aggregate elected commitments from $240.0 million to $300.0 million. In connection with the Third Amendment and the increase in the size of the lender group, certain lenders decreased their commitment amounts and one bank exited the facility, which resulted in a write-off of $2.2 million in deferred financing costs that were previously capitalized in “other long-term assets” in the accompanying condensed consolidated balance sheets. This $2.2 million is included in “interest expense” in the accompanying condensed consolidated statements of operations for the three and six months ended June 30, 2024 and is added back as a non-cash adjustment to operating activities in the condensed consolidated statements of cash flows. The Company capitalized approximately $3.0 million in expenses related to the Third Amendment that are included in “other long-term assets” in the accompanying condensed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had outstanding borrowings of $165.0 million and $0.3 million of outstanding letters of credit issued and outstanding under the Credit Agreement, resulting in availability of $134.7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Prior to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this clause (iii) an additional 10 basis point credit spread adjustment, plus, in the case of any base rate loan, an applicable margin ranging from 150 to 250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each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was in compliance with all financial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lineRule="auto" w:line="288" w:before="240" w:after="283"/>
        <w:jc w:val="both"/>
        <w:rPr/>
      </w:pPr>
      <w:r>
        <w:rPr>
          <w:rFonts w:ascii="Times New Roman;sans-serif" w:hAnsi="Times New Roman;sans-serif"/>
          <w:b w:val="false"/>
          <w:i/>
          <w:color w:val="000000"/>
          <w:sz w:val="20"/>
        </w:rPr>
        <w:t>Warrant Exchange</w:t>
      </w:r>
      <w:r>
        <w:rPr>
          <w:color w:val="000000"/>
        </w:rPr>
        <w:t xml:space="preserve"> </w:t>
      </w:r>
      <w:r>
        <w:rPr>
          <w:rFonts w:ascii="Times New Roman;sans-serif" w:hAnsi="Times New Roman;sans-serif"/>
          <w:b w:val="false"/>
          <w:color w:val="000000"/>
          <w:sz w:val="20"/>
        </w:rPr>
        <w:t>- On June 22, 2023, the Company completed an Offer to holders of its outstanding warrants which provided such holders the opportunity to receive 0.25 shares of the Company’s 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exchanged in the Offer were marked to fair value on the date of settlement, which was recorded in loss on derivatives - common stock warrants on the condensed consolidated statements of operations. Upon exchange, the liability of $17.0 million and $0.7 million related to the exchanged common stock warrants in June 2023 and July 2023, respectively, was removed from the condensed consolidated balance sheet and the issuance of shares of the Company’s common stock was reflected in stockholders’ equity. </w:t>
      </w:r>
    </w:p>
    <w:p>
      <w:pPr>
        <w:pStyle w:val="TextBody"/>
        <w:bidi w:val="0"/>
        <w:spacing w:lineRule="auto" w:line="288" w:before="240" w:after="283"/>
        <w:jc w:val="both"/>
        <w:rPr/>
      </w:pPr>
      <w:r>
        <w:rPr>
          <w:rFonts w:ascii="Times New Roman;sans-serif" w:hAnsi="Times New Roman;sans-serif"/>
          <w:b w:val="false"/>
          <w:i/>
          <w:color w:val="000000"/>
          <w:sz w:val="20"/>
        </w:rPr>
        <w:t>Common Stock Dividends</w:t>
      </w:r>
      <w:r>
        <w:rPr>
          <w:color w:val="000000"/>
        </w:rPr>
        <w:t xml:space="preserve"> </w:t>
      </w:r>
      <w:r>
        <w:rPr>
          <w:rFonts w:ascii="Times New Roman;sans-serif" w:hAnsi="Times New Roman;sans-serif"/>
          <w:b w:val="false"/>
          <w:color w:val="000000"/>
          <w:sz w:val="20"/>
        </w:rPr>
        <w:t>- The Company paid dividends of $14.4 million, or $0.11 per share, and $28.7 million, or $0.22 per share during the three and six months ended June 30, 2024, respectively. For the three and six months ended June 30, 2023, the Company paid dividends of $14.6 million, or $0.11 per share, and $29.3 million, or $0.22 per share,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payment of future dividends will be at the discretion of the Company’s Board of Directors.</w:t>
      </w:r>
    </w:p>
    <w:p>
      <w:pPr>
        <w:pStyle w:val="TextBody"/>
        <w:bidi w:val="0"/>
        <w:spacing w:lineRule="auto" w:line="288" w:before="240" w:after="283"/>
        <w:jc w:val="both"/>
        <w:rPr/>
      </w:pPr>
      <w:r>
        <w:rPr>
          <w:rFonts w:ascii="Times New Roman;sans-serif" w:hAnsi="Times New Roman;sans-serif"/>
          <w:b w:val="false"/>
          <w:i/>
          <w:color w:val="000000"/>
          <w:sz w:val="20"/>
        </w:rPr>
        <w:t>Stock Repurchase Program</w:t>
      </w:r>
      <w:r>
        <w:rPr>
          <w:color w:val="000000"/>
        </w:rPr>
        <w:t xml:space="preserve"> </w:t>
      </w:r>
      <w:r>
        <w:rPr>
          <w:rFonts w:ascii="Times New Roman;sans-serif" w:hAnsi="Times New Roman;sans-serif"/>
          <w:b w:val="false"/>
          <w:color w:val="000000"/>
          <w:sz w:val="20"/>
        </w:rPr>
        <w:t>- In December 2022, the Company announced that its Board of Directors approved a stock repurchase program for up to $50.0 million of the Company’s common stock through December 31, 2023. Under the stock repurchase program, the Company was permitted to repurchase shares of its common stock from time to time in open market transactions or in privately negotiated transactions as permitted under applicable rules and regulations. The stock repurchase program terminated on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repurchased 660,568 and 933,585 shares under the program at an aggregate cost of $4.1 million and $5.8 million,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 operation of the Company’s assets (including for third-party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service fees for the Company under the MSA were approximately $2.5 million and $5.0 million for each period and are included in general and administrative expenses within the accompanying condensed consolidated statements of operations. For the three and six months ended June 30, 2023, service fees for the Company under the MSA of $2.5 million and $5.0 million, respectively, were consistent with the same periods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Risk Concentrations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ans-serif" w:hAnsi="Times New Roman;sans-serif"/>
          <w:b w:val="false"/>
          <w:i/>
          <w:color w:val="000000"/>
          <w:sz w:val="20"/>
        </w:rPr>
        <w:t>Derivative Counterparties</w:t>
      </w:r>
      <w:r>
        <w:rPr>
          <w:color w:val="000000"/>
        </w:rPr>
        <w:t xml:space="preserve"> </w:t>
      </w:r>
      <w:r>
        <w:rPr>
          <w:rFonts w:ascii="Times New Roman;sans-serif" w:hAnsi="Times New Roman;sans-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ans-serif" w:hAnsi="Times New Roman;sans-serif"/>
          <w:b w:val="false"/>
          <w:color w:val="000000"/>
          <w:sz w:val="20"/>
          <w:shd w:fill="FFFFFF" w:val="clear"/>
        </w:rPr>
        <w:t>All of the Company’s outstanding derivative instruments are covered by either International Swap Dealers Association Master Agreements (“ISDAs”) entered into with parties that are also lenders under the Company’s Credit Agreement or parties under the intercreditor agreement related to the Credit Agreement. The Company’s obligations under the derivative instruments are secured pursuant to the Credit Agreement, and no additional collateral has been posted by the Company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basic and diluted earnings per share computations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343"/>
        <w:gridCol w:w="950"/>
        <w:gridCol w:w="957"/>
        <w:gridCol w:w="287"/>
        <w:gridCol w:w="839"/>
        <w:gridCol w:w="148"/>
        <w:gridCol w:w="148"/>
        <w:gridCol w:w="148"/>
        <w:gridCol w:w="148"/>
        <w:gridCol w:w="287"/>
        <w:gridCol w:w="839"/>
        <w:gridCol w:w="148"/>
        <w:gridCol w:w="147"/>
        <w:gridCol w:w="147"/>
        <w:gridCol w:w="147"/>
        <w:gridCol w:w="284"/>
        <w:gridCol w:w="973"/>
        <w:gridCol w:w="147"/>
        <w:gridCol w:w="147"/>
        <w:gridCol w:w="147"/>
        <w:gridCol w:w="147"/>
        <w:gridCol w:w="284"/>
        <w:gridCol w:w="973"/>
        <w:gridCol w:w="147"/>
        <w:gridCol w:w="109"/>
        <w:gridCol w:w="164"/>
      </w:tblGrid>
      <w:tr>
        <w:trPr/>
        <w:tc>
          <w:tcPr>
            <w:tcW w:w="13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basic earnings (a)</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stockholders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participating earnings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stockholders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performance stock units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warrants were out-of-the-money and were not included in the computation of the diluted earnings per share. At June 30, 2023, 462,940 warrants remained outstanding. In July 2023, each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warrant was converted into 0.225 shares of the Company’s common stock, and subsequently, no warrants remained outstanding.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is a summary of the PSUs and stock options, which were not included in the computation of diluted earnings per share, as inclusion of these items would be antidilutive. </w:t>
      </w:r>
    </w:p>
    <w:tbl>
      <w:tblPr>
        <w:tblW w:w="9629" w:type="dxa"/>
        <w:jc w:val="left"/>
        <w:tblInd w:w="0" w:type="dxa"/>
        <w:tblLayout w:type="fixed"/>
        <w:tblCellMar>
          <w:top w:w="28" w:type="dxa"/>
          <w:left w:w="28" w:type="dxa"/>
          <w:bottom w:w="28" w:type="dxa"/>
          <w:right w:w="28" w:type="dxa"/>
        </w:tblCellMar>
      </w:tblPr>
      <w:tblGrid>
        <w:gridCol w:w="1204"/>
        <w:gridCol w:w="1060"/>
        <w:gridCol w:w="1066"/>
        <w:gridCol w:w="572"/>
        <w:gridCol w:w="254"/>
        <w:gridCol w:w="251"/>
        <w:gridCol w:w="251"/>
        <w:gridCol w:w="251"/>
        <w:gridCol w:w="251"/>
        <w:gridCol w:w="572"/>
        <w:gridCol w:w="254"/>
        <w:gridCol w:w="251"/>
        <w:gridCol w:w="109"/>
        <w:gridCol w:w="109"/>
        <w:gridCol w:w="109"/>
        <w:gridCol w:w="531"/>
        <w:gridCol w:w="295"/>
        <w:gridCol w:w="230"/>
        <w:gridCol w:w="230"/>
        <w:gridCol w:w="230"/>
        <w:gridCol w:w="230"/>
        <w:gridCol w:w="531"/>
        <w:gridCol w:w="295"/>
        <w:gridCol w:w="230"/>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antidilutive common shares: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474,389 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shares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610,112 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416,637 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530,944 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234,679 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w:t>
      </w:r>
    </w:p>
    <w:p>
      <w:pPr>
        <w:pStyle w:val="TextBody"/>
        <w:bidi w:val="0"/>
        <w:spacing w:lineRule="auto" w:line="252"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declared a regular quarterly dividend of $0.11 per share payable on September 13, 2024 to shareholders of record as of August 30, 2024. Future declarations of dividends are subject to approval by the Board of Directors.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Acquisitions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end of the quarter, the Company closed on various acquisitions for a total purchase price of $22.7 million, of which $20.4 million were acquisitions in the Permian Basin.</w:t>
      </w:r>
    </w:p>
    <w:p>
      <w:pPr>
        <w:pStyle w:val="TextBody"/>
        <w:bidi w:val="0"/>
        <w:spacing w:lineRule="auto" w:line="288" w:before="240" w:after="283"/>
        <w:jc w:val="both"/>
        <w:rPr/>
      </w:pPr>
      <w:r>
        <w:rPr>
          <w:rFonts w:ascii="Times New Roman;sans-serif" w:hAnsi="Times New Roman;sans-serif"/>
          <w:b w:val="false"/>
          <w:i/>
          <w:color w:val="000000"/>
          <w:sz w:val="20"/>
        </w:rPr>
        <w:t>New Commodity Derivative Contracts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2024, the Company entered into the following oil derivative contracts to hedge additional amounts of estimated future production. </w:t>
      </w:r>
    </w:p>
    <w:tbl>
      <w:tblPr>
        <w:tblW w:w="9010" w:type="dxa"/>
        <w:jc w:val="left"/>
        <w:tblInd w:w="0" w:type="dxa"/>
        <w:tblLayout w:type="fixed"/>
        <w:tblCellMar>
          <w:top w:w="28" w:type="dxa"/>
          <w:left w:w="28" w:type="dxa"/>
          <w:bottom w:w="28" w:type="dxa"/>
          <w:right w:w="28" w:type="dxa"/>
        </w:tblCellMar>
      </w:tblPr>
      <w:tblGrid>
        <w:gridCol w:w="1443"/>
        <w:gridCol w:w="924"/>
        <w:gridCol w:w="933"/>
        <w:gridCol w:w="260"/>
        <w:gridCol w:w="760"/>
        <w:gridCol w:w="134"/>
        <w:gridCol w:w="109"/>
        <w:gridCol w:w="109"/>
        <w:gridCol w:w="109"/>
        <w:gridCol w:w="284"/>
        <w:gridCol w:w="829"/>
        <w:gridCol w:w="146"/>
        <w:gridCol w:w="109"/>
        <w:gridCol w:w="109"/>
        <w:gridCol w:w="109"/>
        <w:gridCol w:w="211"/>
        <w:gridCol w:w="616"/>
        <w:gridCol w:w="109"/>
        <w:gridCol w:w="211"/>
        <w:gridCol w:w="616"/>
        <w:gridCol w:w="109"/>
        <w:gridCol w:w="211"/>
        <w:gridCol w:w="40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 Total</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(oil)</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1,182,000</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(oil)</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($/Bbl)</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Supplementary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Costs</w:t>
      </w:r>
    </w:p>
    <w:tbl>
      <w:tblPr>
        <w:tblW w:w="7907" w:type="dxa"/>
        <w:jc w:val="left"/>
        <w:tblInd w:w="0" w:type="dxa"/>
        <w:tblLayout w:type="fixed"/>
        <w:tblCellMar>
          <w:top w:w="28" w:type="dxa"/>
          <w:left w:w="28" w:type="dxa"/>
          <w:bottom w:w="28" w:type="dxa"/>
          <w:right w:w="28" w:type="dxa"/>
        </w:tblCellMar>
      </w:tblPr>
      <w:tblGrid>
        <w:gridCol w:w="1716"/>
        <w:gridCol w:w="1509"/>
        <w:gridCol w:w="1514"/>
        <w:gridCol w:w="211"/>
        <w:gridCol w:w="976"/>
        <w:gridCol w:w="109"/>
        <w:gridCol w:w="109"/>
        <w:gridCol w:w="109"/>
        <w:gridCol w:w="109"/>
        <w:gridCol w:w="243"/>
        <w:gridCol w:w="1125"/>
        <w:gridCol w:w="177"/>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(467,141)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 for oil and natural gas properties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769,542 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Incurred for Oil and Natural Gas Producing Activities</w:t>
      </w:r>
    </w:p>
    <w:tbl>
      <w:tblPr>
        <w:tblW w:w="10205" w:type="dxa"/>
        <w:jc w:val="left"/>
        <w:tblInd w:w="0" w:type="dxa"/>
        <w:tblLayout w:type="fixed"/>
        <w:tblCellMar>
          <w:top w:w="28" w:type="dxa"/>
          <w:left w:w="28" w:type="dxa"/>
          <w:bottom w:w="28" w:type="dxa"/>
          <w:right w:w="28" w:type="dxa"/>
        </w:tblCellMar>
      </w:tblPr>
      <w:tblGrid>
        <w:gridCol w:w="1438"/>
        <w:gridCol w:w="1241"/>
        <w:gridCol w:w="1232"/>
        <w:gridCol w:w="379"/>
        <w:gridCol w:w="337"/>
        <w:gridCol w:w="339"/>
        <w:gridCol w:w="192"/>
        <w:gridCol w:w="192"/>
        <w:gridCol w:w="192"/>
        <w:gridCol w:w="379"/>
        <w:gridCol w:w="337"/>
        <w:gridCol w:w="339"/>
        <w:gridCol w:w="109"/>
        <w:gridCol w:w="109"/>
        <w:gridCol w:w="109"/>
        <w:gridCol w:w="349"/>
        <w:gridCol w:w="389"/>
        <w:gridCol w:w="392"/>
        <w:gridCol w:w="177"/>
        <w:gridCol w:w="177"/>
        <w:gridCol w:w="177"/>
        <w:gridCol w:w="349"/>
        <w:gridCol w:w="390"/>
        <w:gridCol w:w="391"/>
        <w:gridCol w:w="109"/>
        <w:gridCol w:w="109"/>
        <w:gridCol w:w="109"/>
        <w:gridCol w:w="163"/>
      </w:tblGrid>
      <w:tr>
        <w:trPr/>
        <w:tc>
          <w:tcPr>
            <w:tcW w:w="14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3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66,951</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129,590</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for oil and natural gas properties</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85,743</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The following discussion contains </w:t>
      </w:r>
      <w:r>
        <w:rPr>
          <w:color w:val="000000"/>
        </w:rPr>
        <w:t>“</w:t>
      </w:r>
      <w:r>
        <w:rPr>
          <w:rFonts w:ascii="Times New Roman;sans-serif" w:hAnsi="Times New Roman;sans-serif"/>
          <w:b w:val="false"/>
          <w:i/>
          <w:color w:val="000000"/>
          <w:sz w:val="20"/>
        </w:rPr>
        <w:t>forward</w:t>
      </w:r>
      <w:r>
        <w:rPr>
          <w:color w:val="000000"/>
        </w:rPr>
        <w:noBreakHyphen/>
      </w:r>
      <w:r>
        <w:rPr>
          <w:rFonts w:ascii="Times New Roman;sans-serif" w:hAnsi="Times New Roman;sans-serif"/>
          <w:b w:val="false"/>
          <w:i/>
          <w:color w:val="000000"/>
          <w:sz w:val="20"/>
        </w:rPr>
        <w:t>looking statements</w:t>
      </w:r>
      <w:r>
        <w:rPr>
          <w:color w:val="000000"/>
        </w:rPr>
        <w:t xml:space="preserve">” </w:t>
      </w:r>
      <w:r>
        <w:rPr>
          <w:rFonts w:ascii="Times New Roman;sans-serif" w:hAnsi="Times New Roman;sans-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ans-serif" w:hAnsi="Times New Roman;sans-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2023 (the "2023 Form 10-K")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scaled, non-operated oil and gas exploration and production company. We own a portfolio of wells and top-tier acreage across the Permian and four other prolific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but we are not burdened by long-term contracts and drilling obligations common to operators.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Business Combination, see Note 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our ability to continue to identify and acquire high-quality acreage and drilling opportunities;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level of our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factors that affect companies in our industry generally, the location of substantially all of our acreage in the Eagle Ford, Permian, Bakken, Haynesville and Denver-Julesburg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price differential to the NYMEX benchmark price during the three months ended June 30, 2024 and 2023 was a discount of $(3.97) per barrel and $(0.83) per barrel, respectively. For the six months ended June 30, 2024 and 2023, our oil price differential to the NYMEX benchmark price was a discount of $(1.68) per barrel and $(0.32) per barrel,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natural gas price differential to the average NYMEX price during the three months ended June 30, 2024 and 2023 was a discount of $(0.09) per Mcf and a premium of $0.71 per Mcf, respectively. For the six months ended June 30, 2024 and 2023, our natural gas price differential to the average NYMEX price was a discount of $(0.20) per Mcf and a premium of $0.29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commodity prices have been volatile, and we expect that volatility to continue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various quantities of oil and natural gas that we produce significantly impact our revenues and cash flows. The following table lists average NYMEX prices for oil and natural gas for the three and six months ended June 30, 2024 and 2023.</w:t>
      </w:r>
    </w:p>
    <w:tbl>
      <w:tblPr>
        <w:tblW w:w="7711" w:type="dxa"/>
        <w:jc w:val="left"/>
        <w:tblInd w:w="0" w:type="dxa"/>
        <w:tblLayout w:type="fixed"/>
        <w:tblCellMar>
          <w:top w:w="28" w:type="dxa"/>
          <w:left w:w="28" w:type="dxa"/>
          <w:bottom w:w="28" w:type="dxa"/>
          <w:right w:w="28" w:type="dxa"/>
        </w:tblCellMar>
      </w:tblPr>
      <w:tblGrid>
        <w:gridCol w:w="847"/>
        <w:gridCol w:w="745"/>
        <w:gridCol w:w="748"/>
        <w:gridCol w:w="403"/>
        <w:gridCol w:w="285"/>
        <w:gridCol w:w="286"/>
        <w:gridCol w:w="208"/>
        <w:gridCol w:w="208"/>
        <w:gridCol w:w="208"/>
        <w:gridCol w:w="403"/>
        <w:gridCol w:w="285"/>
        <w:gridCol w:w="286"/>
        <w:gridCol w:w="109"/>
        <w:gridCol w:w="109"/>
        <w:gridCol w:w="109"/>
        <w:gridCol w:w="362"/>
        <w:gridCol w:w="285"/>
        <w:gridCol w:w="286"/>
        <w:gridCol w:w="187"/>
        <w:gridCol w:w="187"/>
        <w:gridCol w:w="187"/>
        <w:gridCol w:w="362"/>
        <w:gridCol w:w="255"/>
        <w:gridCol w:w="361"/>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NYMEX Prices (1)</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4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62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r>
      <w:tr>
        <w:trPr/>
        <w:tc>
          <w:tcPr>
            <w:tcW w:w="7711"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average NYMEX closing prices.</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the average NYMEX oil pricing was $81.81 per barrel of oil, or 11% higher than the average NYMEX price per barrel for the three months ended June 30, 2023. Our settled derivatives decreased our realized oil price per barrel by $0.38 for the three months ended June 30, 2024 and increased our realized oil price per barrel by $1.94 for the three months ended June 30, 2023. For the three months ended June 30, 2024, our average realized oil price per barrel after reflecting settled derivatives was $77.46 compared to $74.80 for the three months ended June 30, 2023. For the six months ended June 30, 2024, the average NYMEX oil pricing was $79.69 per barrel of oil, or 6%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than the average NYMEX price per barrel for the six months ended June 30, 2023. Our settled derivatives decreased our realized oil price per barrel by $0.14 for the six months ended June 30, 2024 and increased our realized oil price per barrel by $1.98 for the six months ended June 30, 2023. For the six months ended June 30, 2024, our average realized oil price per barrel after reflecting settled derivatives was $77.87 compared to $76.49 for the six months ended June 30,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the average NYMEX natural gas pricing was $2.07 per Mcf, or 11% lower than the average NYMEX price per Mcf for the three months ended June 30, 2023. Our settled derivatives increased our realized natural gas price per Mcf by $0.65 for the three months ended June 30, 2024 and increased our realized natural gas price per Mcf by $1.02 for the three months ended June 30, 2023. For the three months ended June 30, 2024, our average realized natural gas price per Mcf after reflecting settled derivatives was $2.63 compared to $4.06 for the three months ended June 30, 2023. For the six months ended June 30, 2024, the average NYMEX natural gas pricing was $2.11 per Mcf, or 17% lower than the average NYMEX price per Mcf for the six months ended June 30, 2023. Our settled derivatives increased our realized natural gas price per Mcf by $0.50 for the six months ended June 30, 2024 and increased our realized natural gas price per Mcf by $0.83 for the six months ended June 30, 2023. For the six months ended June 30, 2024, our average realized natural gas price per Mcf after reflecting settled derivatives was $2.41 compared to $3.67 for the six months ended June 30, 2023.</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1338"/>
        <w:gridCol w:w="981"/>
        <w:gridCol w:w="984"/>
        <w:gridCol w:w="253"/>
        <w:gridCol w:w="835"/>
        <w:gridCol w:w="140"/>
        <w:gridCol w:w="140"/>
        <w:gridCol w:w="140"/>
        <w:gridCol w:w="140"/>
        <w:gridCol w:w="253"/>
        <w:gridCol w:w="835"/>
        <w:gridCol w:w="140"/>
        <w:gridCol w:w="140"/>
        <w:gridCol w:w="140"/>
        <w:gridCol w:w="140"/>
        <w:gridCol w:w="253"/>
        <w:gridCol w:w="951"/>
        <w:gridCol w:w="140"/>
        <w:gridCol w:w="140"/>
        <w:gridCol w:w="140"/>
        <w:gridCol w:w="140"/>
        <w:gridCol w:w="253"/>
        <w:gridCol w:w="951"/>
        <w:gridCol w:w="140"/>
        <w:gridCol w:w="109"/>
        <w:gridCol w:w="109"/>
        <w:gridCol w:w="109"/>
        <w:gridCol w:w="171"/>
      </w:tblGrid>
      <w:tr>
        <w:trPr/>
        <w:tc>
          <w:tcPr>
            <w:tcW w:w="133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Sales (in thousands):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sales</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90,652 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179,648 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178,867 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Production:</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(1)</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Production:</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(Boe)</w:t>
            </w:r>
            <w:r>
              <w:rPr>
                <w:rFonts w:ascii="Times New Roman;sans-serif" w:hAnsi="Times New Roman;sans-serif"/>
                <w:b w:val="false"/>
                <w:color w:val="000000"/>
                <w:sz w:val="10"/>
              </w:rPr>
              <w:t>(1)</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oil derivatives on average price (per Bbl)</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net of settled oil derivatives (per Bbl) (2)</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(per Mcf)</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natural gas derivatives on average price (per Mcf)</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net of settled natural gas derivatives (per Mcf) (2)</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excluding settled commodity derivatives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(loss) on settled commodity derivatives on average price (per Boe)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including settled commodity derivatives (2)</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 (in thousands):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28,178 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 (per Boe):</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Producing Wells at Period-End:</w:t>
            </w:r>
          </w:p>
        </w:tc>
        <w:tc>
          <w:tcPr>
            <w:tcW w:w="10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191.94 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157.57 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191.94 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157.57 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707"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presentation of realized prices including settled commodity derivatives is a result of including the net cash receipts from (payments on) commodity derivatives that are presented in our condensed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Oil and Natural Gas Sales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vary from year to year primarily due to changes in realized commodity prices and production volumes. Our oil and natural gas sales for the three months ended June 30, 2024 increased 4% from the same period in 2023. Oil revenues for the three months ended June 30, 2024 increased by 12% compared to the same period in 2023, driven by a 5% increase in production and a 7% increase in realized prices, excluding the effect of settled commodity derivatives. Natural gas revenues decreased by 29% for the three months ended June 30, 2024 compared to 2023 as a result of a 35% decrease in realized natural gas prices, excluding the effect of settled commodity derivatives, partially offset by an increase in production.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and natural gas sales for the six months ended June 30, 2024 were slightly higher than the same period in 2023. Oil revenues for the first half of 2024 increased by 8% compared to the same period in 2023, driven by a 5% increase in realized prices, excluding the effect of settled commodity derivatives, and a 3% increase in production. Natural gas revenues decreased by 27% for the first half of 2024 compared to 2023 as a result of a 33% decrease in realized natural gas prices, excluding the effect of settled commodity derivatives, partially offset by an increase in production.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from oil and gas properties increased for the three and six months ended June 30, 2024 as compared to the same periods of 2023 due to drilling success and the acquisition of additional net revenue interests. This increase in production is offset by the natural decline of the production rate of existing oil and natural gas wells as well as the sale of certain of our Permian Basin assets to Vital Energy, Inc. ("Vital Energy") in December 2023. The number of wells we participated in increased from 157.57 net wells on June 30, 2023 to 191.94 net wells on June 30, 2024.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Lease operating expenses were $13.7 million ($6.50 per Boe) for the three months ended June 30, 2024, a decrease of 5% from $14.4 million ($7.34 per Boe) during the same period in 2023. The decrease</w:t>
      </w:r>
      <w:r>
        <w:rPr>
          <w:color w:val="000000"/>
        </w:rPr>
        <w:t xml:space="preserve"> </w:t>
      </w:r>
      <w:r>
        <w:rPr>
          <w:rFonts w:ascii="Times New Roman;sans-serif" w:hAnsi="Times New Roman;sans-serif"/>
          <w:b w:val="false"/>
          <w:color w:val="000000"/>
          <w:sz w:val="20"/>
        </w:rPr>
        <w:t xml:space="preserve">was primarily due to a decrease of $0.6 million in transportation and gathering expenses related to certain take in kind arrangements on natural gas volumes, which have declined in the Haynesville area. In addition, workover and repair and maintenance expenses for the second quarter of 2024 are lower than the same period of 2023, partially offset by an increase in certain other lease operating expenses as a result of an increase in well count due to acquisitions and additional wells successfully drilled and completed.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were $29.1 million ($6.82 per Boe) for the six months ended June 30, 2024, an increase of 3% from $28.2 million ($6.96 per Boe) during the same period in 2023. The increase was primarily due to an increase in well count due to acquisitions and additional wells successfully drilled and completed, higher compression and saltwater disposal costs and overall increased cost of services, partially offset by a decrease of $0.9 million in transportation and gathering expenses related to certain take in kind arrangements on natural gas volumes.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pay production taxes based on realized oil and natural gas sales. Production taxes were $5.4 million ($2.59 per Boe) for the three months ended June 30, 2024 compared to $5.7 million ($2.90 per Boe) during the same period in 2023. As a percentage of oil and natural gas sales, our production taxes were 6% and 7% during the three months ended June 30, 2024 and 2023,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were $9.7 million ($2.28 per Boe) for the six months ended June 30, 2024 compared to $10.8 million ($2.66 per Boe) during the same period in 2023. As a percentage of oil and natural gas sales, our production taxes were 5% and 6% during the six months ended June 30, 2024 and 2023,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increased during both the three and six months ended June 30, 2024 as compared to the same periods in 2023, primarily due to additional wells drilled and completed and new wells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$41.6 million ($19.78 per Boe) for the three months ended June 30, 2024, an increase of 19% from $35.0 million ($17.82 per Boe) during the same period in 2023. The increase in depletion and accretion expense was primarily due to the increase in depletion expense resulting from the increase in production and depletion 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$82.5 million ($19.32 per Boe) for the six months ended June 30, 2024, an increase of 20% from $68.8 million ($17.01 per Boe) during the same period in 2023. The increase in depletion and accretion expense was primarily due to the increase in depletion expense resulting from the increase in production and depletion rate.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of Unproved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we recognized impairment expense of $0.7 million on unproved properties in the Permian Basin as the operator of those properties no longer intends to drill certain locations.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components of our general and administrative expenses for the three and six months ended June 30, 2024 and 2023:</w:t>
      </w:r>
    </w:p>
    <w:tbl>
      <w:tblPr>
        <w:tblW w:w="8977" w:type="dxa"/>
        <w:jc w:val="left"/>
        <w:tblInd w:w="0" w:type="dxa"/>
        <w:tblLayout w:type="fixed"/>
        <w:tblCellMar>
          <w:top w:w="28" w:type="dxa"/>
          <w:left w:w="28" w:type="dxa"/>
          <w:bottom w:w="28" w:type="dxa"/>
          <w:right w:w="28" w:type="dxa"/>
        </w:tblCellMar>
      </w:tblPr>
      <w:tblGrid>
        <w:gridCol w:w="1281"/>
        <w:gridCol w:w="1127"/>
        <w:gridCol w:w="1132"/>
        <w:gridCol w:w="213"/>
        <w:gridCol w:w="622"/>
        <w:gridCol w:w="110"/>
        <w:gridCol w:w="110"/>
        <w:gridCol w:w="110"/>
        <w:gridCol w:w="110"/>
        <w:gridCol w:w="213"/>
        <w:gridCol w:w="622"/>
        <w:gridCol w:w="110"/>
        <w:gridCol w:w="109"/>
        <w:gridCol w:w="109"/>
        <w:gridCol w:w="109"/>
        <w:gridCol w:w="211"/>
        <w:gridCol w:w="721"/>
        <w:gridCol w:w="109"/>
        <w:gridCol w:w="109"/>
        <w:gridCol w:w="109"/>
        <w:gridCol w:w="109"/>
        <w:gridCol w:w="211"/>
        <w:gridCol w:w="721"/>
        <w:gridCol w:w="109"/>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general and administrative expenses were $6.6 million ($3.15 per Boe) for the three months ended June 30, 2024, a decrease of 17% from $8.0 million ($4.08 per Boe) during the same period in 2023. The decrease was primarily due to $2.5 million of costs directly related to the Warrant Exchange in the three months ended June 30, 2023, partially offset by increased professional service expenses.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general and administrative expenses were $13.1 million ($3.07 per Boe) for the six months ended June 30, 2024, a decrease of 21% from $16.6 million ($4.10 per Boe) during the same period in 2023. The decrease was primarily due to $2.5 million of costs directly related to the Warrant Exchange in the six months ended June 30, 2023, higher stock-based compensation, and higher professional services and legal costs during the first half of 2023 as compared to 2024.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gain (loss) on derivatives for the three and six months ended June 30, 2024 and 2023:</w:t>
      </w:r>
    </w:p>
    <w:tbl>
      <w:tblPr>
        <w:tblW w:w="8438" w:type="dxa"/>
        <w:jc w:val="left"/>
        <w:tblInd w:w="0" w:type="dxa"/>
        <w:tblLayout w:type="fixed"/>
        <w:tblCellMar>
          <w:top w:w="28" w:type="dxa"/>
          <w:left w:w="28" w:type="dxa"/>
          <w:bottom w:w="28" w:type="dxa"/>
          <w:right w:w="28" w:type="dxa"/>
        </w:tblCellMar>
      </w:tblPr>
      <w:tblGrid>
        <w:gridCol w:w="1146"/>
        <w:gridCol w:w="1008"/>
        <w:gridCol w:w="1011"/>
        <w:gridCol w:w="211"/>
        <w:gridCol w:w="541"/>
        <w:gridCol w:w="109"/>
        <w:gridCol w:w="109"/>
        <w:gridCol w:w="109"/>
        <w:gridCol w:w="109"/>
        <w:gridCol w:w="211"/>
        <w:gridCol w:w="796"/>
        <w:gridCol w:w="109"/>
        <w:gridCol w:w="109"/>
        <w:gridCol w:w="109"/>
        <w:gridCol w:w="109"/>
        <w:gridCol w:w="211"/>
        <w:gridCol w:w="691"/>
        <w:gridCol w:w="109"/>
        <w:gridCol w:w="109"/>
        <w:gridCol w:w="109"/>
        <w:gridCol w:w="109"/>
        <w:gridCol w:w="211"/>
        <w:gridCol w:w="721"/>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net cash receipts from (payments on) derivatives for the three and six months ended June 30, 2024 and 2023:</w:t>
      </w:r>
    </w:p>
    <w:tbl>
      <w:tblPr>
        <w:tblW w:w="10180" w:type="dxa"/>
        <w:jc w:val="left"/>
        <w:tblInd w:w="0" w:type="dxa"/>
        <w:tblLayout w:type="fixed"/>
        <w:tblCellMar>
          <w:top w:w="28" w:type="dxa"/>
          <w:left w:w="28" w:type="dxa"/>
          <w:bottom w:w="28" w:type="dxa"/>
          <w:right w:w="28" w:type="dxa"/>
        </w:tblCellMar>
      </w:tblPr>
      <w:tblGrid>
        <w:gridCol w:w="1819"/>
        <w:gridCol w:w="1600"/>
        <w:gridCol w:w="160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09"/>
        <w:gridCol w:w="109"/>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$5.8 million for the three months ended June 30, 2024 compared to $1.2 million for the three months ended June 30, 2023. The increase in interest expense during three months ended June 30, 2024 as compared to 2023 was primarily due to the increase in interest rates and amortization of deferred financing costs, and higher average outstanding balance on the revolving credit facility.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$9.0 million for the six months ended June 30, 2024 compared to $1.6 million for the six months ended June 30, 2023. The increase in interest expense during the six months ended June 30, 2024 as compared to 2023 was primarily due to the increase in interest rates and amortization of deferred financing costs, and higher average outstanding balance on the revolving credit facility.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Third Amendment to the Credit Agreement as further discussed in Note 8 of the Notes to Condensed Consolidated Financial Statements, due to an increase in the size of the lender group, certain lenders decreased their commitment amounts and one bank exited the facility, which resulted in a write-off of $2.2 million in deferred financing costs that were previously capitalized. This $2.2 million is included in interest expense in the accompanying condensed consolidated statements of operations for the three and six months ended June 30, 2024, which contributed to the increase in interest expense compared to the same periods of the prior year.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Derivatives – Common Stock Warrants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loss of $11.0 million and $5.7 million during the three and six months ended June 30, 2023, respectively, from the change in fair value of the warrant liability. See Note 3 and Note 9 of the Notes to the Condensed Consolidated Financial Statements for additional information on the common stock warrants and the Warrant Exchange.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Equity Investments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loss of $8.8 million and $1.0 million during the three and six months ended June 30, 2024, respectively, from the change in fair value of the common and preferred stock of Vital Energy. See Note 4 of the Notes to Condensed Consolidated Financial Statements for additional information on the common and preferred stock of Vital Energy.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We recorded an income tax expense of $1.7 million and $6.5 million for the three and six months ended June 30, 2024 compared to $4.1 million and $14.9 million for the three and six months ended June 30, 2023</w:t>
      </w:r>
      <w:r>
        <w:rPr>
          <w:rFonts w:ascii="Arial;sans-serif" w:hAnsi="Arial;sans-serif"/>
          <w:b w:val="false"/>
          <w:color w:val="000000"/>
          <w:sz w:val="24"/>
        </w:rPr>
        <w:t>.</w:t>
      </w:r>
      <w:r>
        <w:rPr>
          <w:rFonts w:ascii="Times New Roman;sans-serif" w:hAnsi="Times New Roman;sans-serif"/>
          <w:b w:val="false"/>
          <w:color w:val="000000"/>
          <w:sz w:val="20"/>
        </w:rPr>
        <w:t>The effective income tax rate differs from the statutory rate primarily due to the impact of certain discrete items and state income taxes. See Note 7 of the Notes to Condensed Consolidated Financial Statements for additional discussion of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$165.0 million of debt outstanding under our Credit Agreement (as defined below). We had $148.2 million of liquidity as of June 30, 2024, consisting of $134.7 million of committed borrowing availability under the Credit Agreement and $13.5 million of cash on hand. 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increased the borrowing base from $275.0 million to $300.0 million, and increased the aggregate elected commitments from $240.0 million to $300.0 million. See Note 8 to the Notes to the Condensed Consolidated Financial Statements for additional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Dividends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of $14.4 million, or $0.11 per share, and $28.7 million, or $0.22 per share during the three and six months ended June 30, 2024, respectively. For the three and six months ended June 30, 2023, we paid dividends of $14.6 million, or $0.11 per share, and $29.3 million, or $0.22 per share,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payment of future dividends will be at the discretion of the Company’s Board of Directors.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announced that our Board of Directors approved a stock repurchase program for up to $50 million of our common stock through December 31, 2023. Under the stock repurchase program, we repurchased shares of our common stock from time to time in open market transactions or in privately negotiated transactions as permitted under applicable rules and regulations. The stock repurchase program terminated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repurchased 660,568 and 933,585 shares under the program at an aggregate cost of $4.1 million and $5.8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changes in cash and cash equivalents for the six months ended June 30, 2024 and 2023:</w:t>
      </w:r>
    </w:p>
    <w:tbl>
      <w:tblPr>
        <w:tblW w:w="6129" w:type="dxa"/>
        <w:jc w:val="left"/>
        <w:tblInd w:w="0" w:type="dxa"/>
        <w:tblLayout w:type="fixed"/>
        <w:tblCellMar>
          <w:top w:w="28" w:type="dxa"/>
          <w:left w:w="28" w:type="dxa"/>
          <w:bottom w:w="28" w:type="dxa"/>
          <w:right w:w="28" w:type="dxa"/>
        </w:tblCellMar>
      </w:tblPr>
      <w:tblGrid>
        <w:gridCol w:w="1255"/>
        <w:gridCol w:w="1103"/>
        <w:gridCol w:w="1107"/>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$22.8 million decrease in operating cash flows during the six months ended June 30, 2024 as compared to the same period in 2023 was primarily due to higher interest expense and higher operating costs as well as a decrease in settlements received from commodity derivatives. Settlements received during the six months ended June 30, 2024 were $6.7 million as compared to $14.4 million of settlements received on commodity derivatives during the same period in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operating activities included a benefit of $6.4 million and a benefit of $19.4 million for the six months ended June 30, 2024 and 2023, respectively, associated with changes in working capital items. Changes in working capital items adjust for the timing of receipts and payments of actual cash.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our net cash used in investing activities was $152.6 million, which consisted primarily of $135.9 million of capital expenditures for oil and natural gas properties and $20.9 million of acquisitions of oil and natural gas properties.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our net cash used in investing activities was $211.8 million, which consisted primarily of $182.3 million of capital expenditures for oil and natural gas properties and $29.5 million of acquisitions of oil and natural gas properties.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our net cash provided by financing activities was $22.8 million, primarily due to $55.0 million of borrowings under our Credit Agreement, partially offset by $28.7 million of dividends paid on our common stock and $0.4 million of common stock repurchases.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our net cash provided by financing activities was $19.8 million, primarily due to $55.0 million of net borrowings under our Credit Agreement, partially offset by $29.3 million of dividends paid on our common stock and $5.9 million of common stock repurchases.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Granite Ridge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(as amended, the “Credit Agreement”) among Granite Ridge, as borrower, Texas Capital Bank, as administrative agent, and the lenders from time to time party thereto. The Credit Agreement has a maturity date of five years from the effective date thereof.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initially provided for aggregate elected commitments of $150.0 million, a borrowing base of $325.0 million and an aggregate maximum revolving credit amount of $1.0 billion. The borrowing base is redetermined semiannually on or about April 1 and October 1 of each calendar year, and is subject to additional adjustments from time to time, including for asset sales, elimination or reduction of hedge positions and incurrence of other debt. On November 7, 2023, Granite Ridge entered into a First Amendment to the Credit Agreement (the "First Amendment") which, among other things, decreased the borrowing base from $325.0 million to $275.0 million and increased the aggregate elected commitments from $150.0 million to $240.0 million. This borrowing base decrease was a result of the disposition of certain assets in the Permian Basin to Vital Energy.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(a) appointed Bank of America as administrative agent and L/C Issuer (as defined therein), replacing Texas Capital Bank, (b) increased the size of the lender group by adding nine new banks, with one bank exiting the facility, (c) increased the borrowing base from $275.0 million to $300.0 million, and (d) increased the aggregate elected commitments from $240.0 million to $300.0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had outstanding borrowings of $165.0 million and $0.3 million of outstanding letters of credit issued and outstanding under the Credit Agreement, resulting in availability of $134.7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Prior to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150 to 250 basis points, depending on the percentage of the borrowing base utilized.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each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were in compliance with all financial covenants required by the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 Planned Capital Expenditures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and Other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include long-term debt, cash interest expense on debt, derivative liabilities, asset retirement obligations and an annual service fee to the Manager. Since December 31, 2023, there have been no material changes in our contractual obligations, other than the $55.0 million increase in long-term debt due to borrowings under the Credit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Planned Capital Expenditures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2024, we are budgeting for approximately $355 million to $365 million in total planned capital expenditures, including approximately $60 million of acquisitions of oil and natural gas properties. Our costs incurred on oil and natural gas properties, excluding acquisitions, during the three months ended June 30, 2024 and 2023 totaled $67.0 million and $58.7 million, respectively, and $129.6 million and $157.3 million during the six months ended June 30, 2024 and 2023, respectively. Our capital expenditures for the six months ended June 30, 2024 were primarily funded with cash flows from operations and borrowings under the Credit Agreement. We expect to fund planned capital expenditures with cash generated from operations and, if required, borrowings under our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expenditures for acquisitions of proved and unproved properties for the three and six months ended June 30, 2024 and 2023:</w:t>
      </w:r>
    </w:p>
    <w:tbl>
      <w:tblPr>
        <w:tblW w:w="8624" w:type="dxa"/>
        <w:jc w:val="left"/>
        <w:tblInd w:w="0" w:type="dxa"/>
        <w:tblLayout w:type="fixed"/>
        <w:tblCellMar>
          <w:top w:w="28" w:type="dxa"/>
          <w:left w:w="28" w:type="dxa"/>
          <w:bottom w:w="28" w:type="dxa"/>
          <w:right w:w="28" w:type="dxa"/>
        </w:tblCellMar>
      </w:tblPr>
      <w:tblGrid>
        <w:gridCol w:w="977"/>
        <w:gridCol w:w="860"/>
        <w:gridCol w:w="862"/>
        <w:gridCol w:w="403"/>
        <w:gridCol w:w="337"/>
        <w:gridCol w:w="339"/>
        <w:gridCol w:w="208"/>
        <w:gridCol w:w="208"/>
        <w:gridCol w:w="208"/>
        <w:gridCol w:w="403"/>
        <w:gridCol w:w="285"/>
        <w:gridCol w:w="286"/>
        <w:gridCol w:w="109"/>
        <w:gridCol w:w="109"/>
        <w:gridCol w:w="109"/>
        <w:gridCol w:w="368"/>
        <w:gridCol w:w="337"/>
        <w:gridCol w:w="339"/>
        <w:gridCol w:w="190"/>
        <w:gridCol w:w="190"/>
        <w:gridCol w:w="190"/>
        <w:gridCol w:w="368"/>
        <w:gridCol w:w="338"/>
        <w:gridCol w:w="338"/>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acquisition costs</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Effects of Inflation and Pricing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more significant reporting areas impacted by management’s judgments and estimates are the choice of accounting method for oil and natural gas activities, oil and natural gas reserve estimation, asset retirement obligations, revenue recognition, impairment of long-lived assets and valuation of financial derivatives.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procedures during the six months ended June 30, 2024. See our disclosure of critical accounting policies in “Item 7. Management’s Discussion and Analysis of Financial Condition and Results of Operations” and “Item 8. Financial Statements and Supplementary Data” of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recently issued or adopted accounting pronouncements, see Note 2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A 10% increase in average commodity prices would have decreased the fair value of commodity derivatives by $14.9 million at June 30, 2024. We may incur significant unrealized losses in the future from our use of derivative financial instruments to the extent market prices increase and our derivatives contracts remain in 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our exposure to interest rate changes related primarily to the borrowings under the Credit Agreement. The interest we pay on these borrowings is set periodically based upon market rates. We had total indebtedness of $165.0 million outstanding under our Credit Agreement at June 30, 2024. The impact of a one percent increase in interest rates on this amount of debt would result in increased annual interest expense of approximately $1.7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2024, our disclosure controls and procedures were effective at a level of reasonable assurance.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of the Exchange Act) during the second quarter of 2024 that have materially affected, or are reasonably likely to materially affect, our internal control over financial reporting.</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was not a party to any material legal proceedings during the three months ended June 30, 2024.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from those described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2674"/>
        <w:gridCol w:w="2628"/>
        <w:gridCol w:w="375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ans-serif" w:hAnsi="Times New Roman;sans-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ans-serif" w:hAnsi="Times New Roman;sans-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80"/>
                  <w:sz w:val="20"/>
                  <w:u w:val="single"/>
                </w:rPr>
                <w:t>Resignation, Appointment, Assignment and Third Amendment to Credit Agreement, dated as of April 1, 2024, by and among Granite Ridge Resources, Inc., as borrower, Texas Capital Bank, as resigning administrative agent, Bank of America, N.A., as successor administrative agent, and the lenders party thereto</w:t>
              </w:r>
            </w:hyperlink>
            <w:hyperlink r:id="rId5">
              <w:r>
                <w:rPr>
                  <w:rStyle w:val="InternetLink"/>
                  <w:rFonts w:ascii="Times New Roman;sans-serif" w:hAnsi="Times New Roman;sans-serif"/>
                  <w:b w:val="false"/>
                  <w:color w:val="000080"/>
                  <w:sz w:val="20"/>
                  <w:u w:val="single"/>
                </w:rPr>
                <w:t xml:space="preserve"> (incorporated by reference to Exhibit 10.1 to the Company</w:t>
              </w:r>
            </w:hyperlink>
            <w:hyperlink r:id="rId6">
              <w:r>
                <w:rPr>
                  <w:rStyle w:val="InternetLink"/>
                  <w:rFonts w:ascii="Times New Roman;sans-serif" w:hAnsi="Times New Roman;sans-serif"/>
                  <w:b w:val="false"/>
                  <w:color w:val="000080"/>
                  <w:sz w:val="20"/>
                  <w:u w:val="single"/>
                </w:rPr>
                <w:t>’</w:t>
              </w:r>
            </w:hyperlink>
            <w:hyperlink r:id="rId7">
              <w:r>
                <w:rPr>
                  <w:rStyle w:val="InternetLink"/>
                  <w:rFonts w:ascii="Times New Roman;sans-serif" w:hAnsi="Times New Roman;sans-serif"/>
                  <w:b w:val="false"/>
                  <w:color w:val="000080"/>
                  <w:sz w:val="20"/>
                  <w:u w:val="single"/>
                </w:rPr>
                <w:t xml:space="preserve">s Current </w:t>
              </w:r>
            </w:hyperlink>
            <w:hyperlink r:id="rId8">
              <w:r>
                <w:rPr>
                  <w:rStyle w:val="InternetLink"/>
                  <w:rFonts w:ascii="Times New Roman;sans-serif" w:hAnsi="Times New Roman;sans-serif"/>
                  <w:b w:val="false"/>
                  <w:color w:val="000080"/>
                  <w:sz w:val="20"/>
                  <w:u w:val="single"/>
                </w:rPr>
                <w:t>Report on Form 8-K filed with the SEC on April 4, 2024).</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0630x10qxexx311.htm">
              <w:r>
                <w:rPr>
                  <w:rStyle w:val="InternetLink"/>
                  <w:rFonts w:ascii="Times New Roman;sans-serif" w:hAnsi="Times New Roman;sans-serif"/>
                  <w:b w:val="false"/>
                  <w:color w:val="0000FF"/>
                  <w:sz w:val="20"/>
                  <w:u w:val="single"/>
                </w:rPr>
                <w:t>Certification of the Company’s Chief Executive Officer Pursuant to Section 302 of the Sarbanes Oxley Act of 2002.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0630x10qxexx312.htm">
              <w:r>
                <w:rPr>
                  <w:rStyle w:val="InternetLink"/>
                  <w:rFonts w:ascii="Times New Roman;sans-serif" w:hAnsi="Times New Roman;sans-serif"/>
                  <w:b w:val="false"/>
                  <w:color w:val="0000FF"/>
                  <w:sz w:val="20"/>
                  <w:u w:val="single"/>
                </w:rPr>
                <w:t>Certification of the Company’s Chief Financial Officer Pursuant to Section 302 of the Sarbanes Oxley Act of 2002.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0630x10qxexx321.htm">
              <w:r>
                <w:rPr>
                  <w:rStyle w:val="InternetLink"/>
                  <w:rFonts w:ascii="Times New Roman;sans-serif" w:hAnsi="Times New Roman;sans-serif"/>
                  <w:b w:val="false"/>
                  <w:color w:val="0000EE"/>
                  <w:sz w:val="20"/>
                  <w:u w:val="single"/>
                </w:rPr>
                <w:t>Certification of the Company’s Chief Executive Officer and Chief Financial Officer Pursuant to Section 906 of the Sarbanes Oxley Act of 2002.</w:t>
              </w:r>
            </w:hyperlink>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or furnished herewith</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920" w:type="dxa"/>
        <w:jc w:val="left"/>
        <w:tblInd w:w="0" w:type="dxa"/>
        <w:tblLayout w:type="fixed"/>
        <w:tblCellMar>
          <w:top w:w="28" w:type="dxa"/>
          <w:left w:w="28" w:type="dxa"/>
          <w:bottom w:w="28" w:type="dxa"/>
          <w:right w:w="28" w:type="dxa"/>
        </w:tblCellMar>
      </w:tblPr>
      <w:tblGrid>
        <w:gridCol w:w="494"/>
        <w:gridCol w:w="434"/>
        <w:gridCol w:w="436"/>
        <w:gridCol w:w="363"/>
        <w:gridCol w:w="363"/>
        <w:gridCol w:w="363"/>
        <w:gridCol w:w="409"/>
        <w:gridCol w:w="409"/>
        <w:gridCol w:w="409"/>
        <w:gridCol w:w="948"/>
        <w:gridCol w:w="948"/>
        <w:gridCol w:w="134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GRANITE RIDGE RESOURCES, INC.</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A. WEIMER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A. Weimer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Luke C. Brandenberg,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93" w:type="dxa"/>
        <w:jc w:val="left"/>
        <w:tblInd w:w="0" w:type="dxa"/>
        <w:tblLayout w:type="fixed"/>
        <w:tblCellMar>
          <w:top w:w="28" w:type="dxa"/>
          <w:left w:w="28" w:type="dxa"/>
          <w:bottom w:w="28" w:type="dxa"/>
          <w:right w:w="28" w:type="dxa"/>
        </w:tblCellMar>
      </w:tblPr>
      <w:tblGrid>
        <w:gridCol w:w="705"/>
        <w:gridCol w:w="619"/>
        <w:gridCol w:w="625"/>
        <w:gridCol w:w="234"/>
        <w:gridCol w:w="234"/>
        <w:gridCol w:w="236"/>
        <w:gridCol w:w="948"/>
        <w:gridCol w:w="948"/>
        <w:gridCol w:w="134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LUKE C. BRANDENBERG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Tyler S. Farquharson,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18" w:type="dxa"/>
        <w:jc w:val="left"/>
        <w:tblInd w:w="0" w:type="dxa"/>
        <w:tblLayout w:type="fixed"/>
        <w:tblCellMar>
          <w:top w:w="28" w:type="dxa"/>
          <w:left w:w="28" w:type="dxa"/>
          <w:bottom w:w="28" w:type="dxa"/>
          <w:right w:w="28" w:type="dxa"/>
        </w:tblCellMar>
      </w:tblPr>
      <w:tblGrid>
        <w:gridCol w:w="705"/>
        <w:gridCol w:w="619"/>
        <w:gridCol w:w="625"/>
        <w:gridCol w:w="234"/>
        <w:gridCol w:w="234"/>
        <w:gridCol w:w="236"/>
        <w:gridCol w:w="838"/>
        <w:gridCol w:w="838"/>
        <w:gridCol w:w="118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Granite Ridge Resources, Inc. (the “Company”) for the period ended June 30, 2024,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817" w:type="dxa"/>
        <w:jc w:val="left"/>
        <w:tblInd w:w="0" w:type="dxa"/>
        <w:tblLayout w:type="fixed"/>
        <w:tblCellMar>
          <w:top w:w="28" w:type="dxa"/>
          <w:left w:w="28" w:type="dxa"/>
          <w:bottom w:w="28" w:type="dxa"/>
          <w:right w:w="28" w:type="dxa"/>
        </w:tblCellMar>
      </w:tblPr>
      <w:tblGrid>
        <w:gridCol w:w="705"/>
        <w:gridCol w:w="619"/>
        <w:gridCol w:w="625"/>
        <w:gridCol w:w="134"/>
        <w:gridCol w:w="134"/>
        <w:gridCol w:w="136"/>
        <w:gridCol w:w="408"/>
        <w:gridCol w:w="408"/>
        <w:gridCol w:w="408"/>
        <w:gridCol w:w="945"/>
        <w:gridCol w:w="945"/>
        <w:gridCol w:w="135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0465922112452/tm2228430d2_ex3-1.htm" TargetMode="External"/><Relationship Id="rId3" Type="http://schemas.openxmlformats.org/officeDocument/2006/relationships/hyperlink" Target="https://www.sec.gov/Archives/edgar/data/1928446/000110465922112452/tm2228430d2_ex3-2.htm" TargetMode="External"/><Relationship Id="rId4" Type="http://schemas.openxmlformats.org/officeDocument/2006/relationships/hyperlink" Target="https://www.sec.gov/ix?doc=/Archives/edgar/data/0001928446/000192844624000014/grnt-20240401.htm" TargetMode="External"/><Relationship Id="rId5" Type="http://schemas.openxmlformats.org/officeDocument/2006/relationships/hyperlink" Target="https://www.sec.gov/ix?doc=/Archives/edgar/data/0001928446/000192844624000014/grnt-20240401.htm" TargetMode="External"/><Relationship Id="rId6" Type="http://schemas.openxmlformats.org/officeDocument/2006/relationships/hyperlink" Target="https://www.sec.gov/ix?doc=/Archives/edgar/data/0001928446/000192844624000014/grnt-20240401.htm" TargetMode="External"/><Relationship Id="rId7" Type="http://schemas.openxmlformats.org/officeDocument/2006/relationships/hyperlink" Target="https://www.sec.gov/ix?doc=/Archives/edgar/data/0001928446/000192844624000014/grnt-20240401.htm" TargetMode="External"/><Relationship Id="rId8" Type="http://schemas.openxmlformats.org/officeDocument/2006/relationships/hyperlink" Target="https://www.sec.gov/ix?doc=/Archives/edgar/data/0001928446/000192844624000014/grnt-202404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23326</Words>
  <Characters>128050</Characters>
  <CharactersWithSpaces>149898</CharactersWithSpaces>
  <Paragraphs>2469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