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330460.xml.htm"/>
      <w:bookmarkStart w:id="1" w:name="kswkform4_178733046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Miller Matthew Reade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5217 MCKINNEY AVE., SUITE 400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Granite Ridge Resources,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GRNT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26"/>
        <w:gridCol w:w="903"/>
        <w:gridCol w:w="772"/>
        <w:gridCol w:w="600"/>
        <w:gridCol w:w="347"/>
        <w:gridCol w:w="1012"/>
        <w:gridCol w:w="449"/>
        <w:gridCol w:w="612"/>
        <w:gridCol w:w="1273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$0.0001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598,531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1,964,292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Pro rata distribution from GREP Holdco III-B Holdings, LLC as well as Grey Rock Energy Partners GP III-A, L.P. and Grey Rock Energy Partners GP III-B, L.P.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Emily Fuquay, by power of attorney for Matthew R. Miller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1282" TargetMode="External"/><Relationship Id="rId5" Type="http://schemas.openxmlformats.org/officeDocument/2006/relationships/hyperlink" Target="http://www.sec.gov/cgi-bin/browse-edgar?action=getcompany&amp;CIK=00019284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603</Words>
  <Characters>3251</Characters>
  <CharactersWithSpaces>3787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