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March 31, 2025</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140" w:after="283"/>
        <w:ind w:left="0" w:right="0" w:hanging="87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 to _______</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001-41537</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GRANITE RIDGE RESOURCES, INC.</w:t>
      </w:r>
    </w:p>
    <w:p>
      <w:pPr>
        <w:pStyle w:val="TextBody"/>
        <w:bidi w:val="0"/>
        <w:spacing w:lineRule="auto" w:line="288" w:before="0" w:after="0"/>
        <w:jc w:val="center"/>
        <w:rPr/>
      </w:pPr>
      <w:r>
        <w:rPr>
          <w:rFonts w:ascii="Times New Roman;sans-serif" w:hAnsi="Times New Roman;sans-serif"/>
          <w:b w:val="false"/>
          <w:color w:val="000000"/>
          <w:sz w:val="16"/>
        </w:rPr>
        <w:t xml:space="preserve">( </w:t>
      </w:r>
      <w:r>
        <w:rPr>
          <w:rFonts w:ascii="Times New Roman;sans-serif" w:hAnsi="Times New Roman;sans-serif"/>
          <w:b w:val="false"/>
          <w:i/>
          <w:color w:val="000000"/>
          <w:sz w:val="16"/>
        </w:rPr>
        <w:t xml:space="preserve">Exact Name of Registrant as Specified in Its Charter </w:t>
      </w:r>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___________________________________</w:t>
      </w:r>
    </w:p>
    <w:tbl>
      <w:tblPr>
        <w:tblW w:w="4945" w:type="dxa"/>
        <w:jc w:val="center"/>
        <w:tblInd w:w="0" w:type="dxa"/>
        <w:tblLayout w:type="fixed"/>
        <w:tblCellMar>
          <w:top w:w="28" w:type="dxa"/>
          <w:left w:w="28" w:type="dxa"/>
          <w:bottom w:w="28" w:type="dxa"/>
          <w:right w:w="28" w:type="dxa"/>
        </w:tblCellMar>
      </w:tblPr>
      <w:tblGrid>
        <w:gridCol w:w="1037"/>
        <w:gridCol w:w="911"/>
        <w:gridCol w:w="916"/>
        <w:gridCol w:w="109"/>
        <w:gridCol w:w="109"/>
        <w:gridCol w:w="109"/>
        <w:gridCol w:w="511"/>
        <w:gridCol w:w="511"/>
        <w:gridCol w:w="732"/>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88-2227812</w:t>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Number)</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240" w:after="283"/>
              <w:jc w:val="center"/>
              <w:rPr>
                <w:rFonts w:ascii="Times New Roman;sans-serif" w:hAnsi="Times New Roman;sans-serif"/>
                <w:b/>
                <w:color w:val="000000"/>
                <w:sz w:val="16"/>
              </w:rPr>
            </w:pPr>
            <w:r>
              <w:rPr>
                <w:rFonts w:ascii="Times New Roman;sans-serif" w:hAnsi="Times New Roman;sans-serif"/>
                <w:b/>
                <w:color w:val="000000"/>
                <w:sz w:val="16"/>
              </w:rPr>
              <w:t>5217 McKinney Ave, Suite 400</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Dallas,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75205</w:t>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(214) 396-2850</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8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48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24"/>
        <w:gridCol w:w="424"/>
        <w:gridCol w:w="42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GRNT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240" w:after="283"/>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217"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12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May 5, 2025, there were 131,113,060 shares of our common stock, par value $0.0001,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management or persons acting on our behalf may make "forward-looking statements," within the meaning of Section 27A of the Securities Act of 1933, as amended (the "Securities Act"), and Section 21E of the Securities Exchange Act of 1934, as amended (the "Exchange Act"), to inform existing and potential security holders about our company. All statements other than statements of historical facts included in this Quarterly Report on Form 10-Q (this "Report"), including, without limitation, statements regarding our financial position, operating and financial performance,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inherent risks and uncertainties, and important factors (many of which are beyond our company’s control) that could cause actual results to differ materially from those set forth in the forward-looking statements, including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current or future commodity prices and interest rates;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supply chain disruptions;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infrastructure constraints and related factors affecting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acquire additional development opportunities and potential or pending acquisition transactions, as well as the effects of such acquisitions on our company’s cash position and levels of indebtedness;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our reserves estimates or the value thereof;</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operational risks including, but not limited to, the pace of drilling and completions activity on our properties;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the markets in which Granite Ridge competes;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geopolitical risk and changes in applicable laws, legislation, or regulations, including those relating to environmental matters;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cyber-related risks;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fact that reserve estimates depend on many assumptions that may turn out to be inaccurate and that any material inaccuracies in reserve estimates or underlying assumptions will materially affect the quantities and present value of our reserves;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limited liquidity and trading of Granite Ridge’s securities;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acts of war, terrorism or uncertainty regarding the effects and duration of global hostilities, including the Israel-Hamas conflict, the Russia-Ukraine war, continued instability in the Middle East, and any associated armed conflicts or related sanctions which may disrupt commodity prices and create instability in the financial markets;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market conditions and global, regulatory, technical, and economic factors beyond Granite Ridge’s control, including the potential adverse effects of world health events affecting capital markets, general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conditions, global supply chains, uncertainties with respect to trade policies (including the imposition of tariffs) and Granite Ridge’s business and operations;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increasing regulatory and investor emphasis on, and attention to, environmental, social, and governance matters;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establish and maintain effective internal control over financial reporting;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other factors discussed in our Annual Report on Form 10-K for the year ended December 31, 2024 (the "2024 Form 10-K") under “Risk Factors,” as updated by any subsequent Quarterly Reports on Form 10-Q, including this Report, which we file with the United States Securities and Exchange Commission (“SEC”).</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If one or more of these risks or uncertainties materialize, or if the underlying assumptions prove incorrect, our actual results may vary materially from those expected or projected.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Readers are urged not to place undue reliance on these forward-looking statements, which speak only as of the date of this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operations and cash flows. If one or more of these risks or uncertainties materialize, or if the underlying assumptions prove incorrect, our actual results may vary materially from those expected or projected.</w:t>
      </w:r>
    </w:p>
    <w:p>
      <w:pPr>
        <w:pStyle w:val="TextBody"/>
        <w:bidi w:val="0"/>
        <w:spacing w:before="240" w:after="283"/>
        <w:ind w:left="0" w:right="0" w:firstLine="360"/>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6"/>
        <w:gridCol w:w="938"/>
        <w:gridCol w:w="938"/>
        <w:gridCol w:w="2205"/>
        <w:gridCol w:w="2174"/>
        <w:gridCol w:w="2189"/>
        <w:gridCol w:w="202"/>
        <w:gridCol w:w="202"/>
        <w:gridCol w:w="291"/>
      </w:tblGrid>
      <w:tr>
        <w:trPr/>
        <w:tc>
          <w:tcPr>
            <w:tcW w:w="106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7">
              <w:r>
                <w:rPr>
                  <w:rStyle w:val="InternetLink"/>
                  <w:rFonts w:ascii="Times New Roman;sans-serif" w:hAnsi="Times New Roman;sans-serif"/>
                  <w:b w:val="false"/>
                  <w:color w:val="0000FF"/>
                  <w:sz w:val="20"/>
                  <w:u w:val="single"/>
                </w:rPr>
                <w:t>CAUTIONARY NOTE REGARDING FORWARD-LOOKING STATEMENTS</w:t>
              </w:r>
            </w:hyperlink>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c1ab77b121bb461593aa85859819327c_7">
              <w:r>
                <w:rPr>
                  <w:rStyle w:val="InternetLink"/>
                  <w:rFonts w:ascii="Times New Roman;sans-serif" w:hAnsi="Times New Roman;sans-serif"/>
                  <w:b w:val="false"/>
                  <w:strike w:val="false"/>
                  <w:dstrike w:val="false"/>
                  <w:color w:val="000000"/>
                  <w:sz w:val="20"/>
                  <w:u w:val="none"/>
                  <w:effect w:val="none"/>
                </w:rPr>
                <w:t>2</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3">
              <w:r>
                <w:rPr>
                  <w:rStyle w:val="InternetLink"/>
                  <w:rFonts w:ascii="Times New Roman;sans-serif" w:hAnsi="Times New Roman;sans-serif"/>
                  <w:b w:val="false"/>
                  <w:color w:val="0000FF"/>
                  <w:sz w:val="20"/>
                  <w:u w:val="single"/>
                </w:rPr>
                <w:t>PART I – FINANCIAL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3">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6">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6">
              <w:r>
                <w:rPr>
                  <w:rStyle w:val="InternetLink"/>
                  <w:rFonts w:ascii="Times New Roman;sans-serif" w:hAnsi="Times New Roman;sans-serif"/>
                  <w:b w:val="false"/>
                  <w:color w:val="0000FF"/>
                  <w:sz w:val="20"/>
                  <w:u w:val="single"/>
                </w:rPr>
                <w:t>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6">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1ab77b121bb461593aa85859819327c_19">
              <w:r>
                <w:rPr>
                  <w:rStyle w:val="InternetLink"/>
                  <w:rFonts w:ascii="Times New Roman;sans-serif" w:hAnsi="Times New Roman;sans-serif"/>
                  <w:b w:val="false"/>
                  <w:color w:val="0000FF"/>
                  <w:sz w:val="20"/>
                  <w:u w:val="single"/>
                </w:rPr>
                <w:t>Condensed Consolidated Balance Sheets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9">
              <w:r>
                <w:rPr>
                  <w:rStyle w:val="InternetLink"/>
                  <w:rFonts w:ascii="Times New Roman;sans-serif" w:hAnsi="Times New Roman;sans-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1ab77b121bb461593aa85859819327c_22">
              <w:r>
                <w:rPr>
                  <w:rStyle w:val="InternetLink"/>
                  <w:rFonts w:ascii="Times New Roman;sans-serif" w:hAnsi="Times New Roman;sans-serif"/>
                  <w:b w:val="false"/>
                  <w:color w:val="0000FF"/>
                  <w:sz w:val="20"/>
                  <w:u w:val="single"/>
                </w:rPr>
                <w:t>Condensed Consolidated Statements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22">
              <w:r>
                <w:rPr>
                  <w:rStyle w:val="InternetLink"/>
                  <w:rFonts w:ascii="Times New Roman;sans-serif" w:hAnsi="Times New Roman;sans-serif"/>
                  <w:b w:val="false"/>
                  <w:strike w:val="false"/>
                  <w:dstrike w:val="false"/>
                  <w:color w:val="000000"/>
                  <w:sz w:val="20"/>
                  <w:u w:val="none"/>
                  <w:effect w:val="none"/>
                </w:rPr>
                <w:t>6</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1ab77b121bb461593aa85859819327c_25">
              <w:r>
                <w:rPr>
                  <w:rStyle w:val="InternetLink"/>
                  <w:rFonts w:ascii="Times New Roman;sans-serif" w:hAnsi="Times New Roman;sans-serif"/>
                  <w:b w:val="false"/>
                  <w:color w:val="0000FF"/>
                  <w:sz w:val="20"/>
                  <w:u w:val="single"/>
                </w:rPr>
                <w:t>Condensed Consolidated Statements of Changes in Equity</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25">
              <w:r>
                <w:rPr>
                  <w:rStyle w:val="InternetLink"/>
                  <w:rFonts w:ascii="Times New Roman;sans-serif" w:hAnsi="Times New Roman;sans-serif"/>
                  <w:b w:val="false"/>
                  <w:strike w:val="false"/>
                  <w:dstrike w:val="false"/>
                  <w:color w:val="000000"/>
                  <w:sz w:val="20"/>
                  <w:u w:val="none"/>
                  <w:effect w:val="none"/>
                </w:rPr>
                <w:t>7</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1ab77b121bb461593aa85859819327c_28">
              <w:r>
                <w:rPr>
                  <w:rStyle w:val="InternetLink"/>
                  <w:rFonts w:ascii="Times New Roman;sans-serif" w:hAnsi="Times New Roman;sans-serif"/>
                  <w:b w:val="false"/>
                  <w:color w:val="0000FF"/>
                  <w:sz w:val="20"/>
                  <w:u w:val="single"/>
                </w:rPr>
                <w:t>Condensed Consolidated Statements of Cash Flows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28">
              <w:r>
                <w:rPr>
                  <w:rStyle w:val="InternetLink"/>
                  <w:rFonts w:ascii="Times New Roman;sans-serif" w:hAnsi="Times New Roman;sans-serif"/>
                  <w:b w:val="false"/>
                  <w:strike w:val="false"/>
                  <w:dstrike w:val="false"/>
                  <w:color w:val="000000"/>
                  <w:sz w:val="20"/>
                  <w:u w:val="none"/>
                  <w:effect w:val="none"/>
                </w:rPr>
                <w:t>8</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1ab77b121bb461593aa85859819327c_31">
              <w:r>
                <w:rPr>
                  <w:rStyle w:val="InternetLink"/>
                  <w:rFonts w:ascii="Times New Roman;sans-serif" w:hAnsi="Times New Roman;sans-serif"/>
                  <w:b w:val="false"/>
                  <w:color w:val="0000FF"/>
                  <w:sz w:val="20"/>
                  <w:u w:val="single"/>
                </w:rPr>
                <w:t>Notes to Condensed Consolidated 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31">
              <w:r>
                <w:rPr>
                  <w:rStyle w:val="InternetLink"/>
                  <w:rFonts w:ascii="Times New Roman;sans-serif" w:hAnsi="Times New Roman;sans-serif"/>
                  <w:b w:val="false"/>
                  <w:strike w:val="false"/>
                  <w:dstrike w:val="false"/>
                  <w:color w:val="000000"/>
                  <w:sz w:val="20"/>
                  <w:u w:val="none"/>
                  <w:effect w:val="none"/>
                </w:rPr>
                <w:t>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76">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1ab77b121bb461593aa85859819327c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76">
              <w:r>
                <w:rPr>
                  <w:rStyle w:val="InternetLink"/>
                  <w:rFonts w:ascii="Times New Roman;sans-serif" w:hAnsi="Times New Roman;sans-serif"/>
                  <w:b w:val="false"/>
                  <w:strike w:val="false"/>
                  <w:dstrike w:val="false"/>
                  <w:color w:val="000000"/>
                  <w:sz w:val="20"/>
                  <w:u w:val="none"/>
                  <w:effect w:val="none"/>
                </w:rPr>
                <w:t>23</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06">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06">
              <w:r>
                <w:rPr>
                  <w:rStyle w:val="InternetLink"/>
                  <w:rFonts w:ascii="Times New Roman;sans-serif" w:hAnsi="Times New Roman;sans-serif"/>
                  <w:b w:val="false"/>
                  <w:color w:val="0000FF"/>
                  <w:sz w:val="20"/>
                  <w:u w:val="single"/>
                </w:rPr>
                <w:t>Quantitative and Qualitative Disclosures about Market Risk</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06">
              <w:r>
                <w:rPr>
                  <w:rStyle w:val="InternetLink"/>
                  <w:rFonts w:ascii="Times New Roman;sans-serif" w:hAnsi="Times New Roman;sans-serif"/>
                  <w:b w:val="false"/>
                  <w:strike w:val="false"/>
                  <w:dstrike w:val="false"/>
                  <w:color w:val="000000"/>
                  <w:sz w:val="20"/>
                  <w:u w:val="none"/>
                  <w:effect w:val="none"/>
                </w:rPr>
                <w:t>32</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09">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09">
              <w:r>
                <w:rPr>
                  <w:rStyle w:val="InternetLink"/>
                  <w:rFonts w:ascii="Times New Roman;sans-serif" w:hAnsi="Times New Roman;sans-serif"/>
                  <w:b w:val="false"/>
                  <w:color w:val="0000FF"/>
                  <w:sz w:val="20"/>
                  <w:u w:val="single"/>
                </w:rPr>
                <w:t>Controls and Procedures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09">
              <w:r>
                <w:rPr>
                  <w:rStyle w:val="InternetLink"/>
                  <w:rFonts w:ascii="Times New Roman;sans-serif" w:hAnsi="Times New Roman;sans-serif"/>
                  <w:b w:val="false"/>
                  <w:strike w:val="false"/>
                  <w:dstrike w:val="false"/>
                  <w:color w:val="000000"/>
                  <w:sz w:val="20"/>
                  <w:u w:val="none"/>
                  <w:effect w:val="none"/>
                </w:rPr>
                <w:t>32</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12">
              <w:r>
                <w:rPr>
                  <w:rStyle w:val="InternetLink"/>
                  <w:rFonts w:ascii="Times New Roman;sans-serif" w:hAnsi="Times New Roman;sans-serif"/>
                  <w:b w:val="false"/>
                  <w:color w:val="0000FF"/>
                  <w:sz w:val="20"/>
                  <w:u w:val="single"/>
                </w:rPr>
                <w:t>PART II – 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12">
              <w:r>
                <w:rPr>
                  <w:rStyle w:val="InternetLink"/>
                  <w:rFonts w:ascii="Times New Roman;sans-serif" w:hAnsi="Times New Roman;sans-serif"/>
                  <w:b w:val="false"/>
                  <w:strike w:val="false"/>
                  <w:dstrike w:val="false"/>
                  <w:color w:val="000000"/>
                  <w:sz w:val="20"/>
                  <w:u w:val="none"/>
                  <w:effect w:val="none"/>
                </w:rPr>
                <w:t>34</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15">
              <w:r>
                <w:rPr>
                  <w:rStyle w:val="InternetLink"/>
                  <w:rFonts w:ascii="Times New Roman;sans-serif" w:hAnsi="Times New Roman;sans-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15">
              <w:r>
                <w:rPr>
                  <w:rStyle w:val="InternetLink"/>
                  <w:rFonts w:ascii="Times New Roman;sans-serif" w:hAnsi="Times New Roman;sans-serif"/>
                  <w:b w:val="false"/>
                  <w:color w:val="0000FF"/>
                  <w:sz w:val="20"/>
                  <w:u w:val="single"/>
                </w:rPr>
                <w:t>Legal Proceedings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15">
              <w:r>
                <w:rPr>
                  <w:rStyle w:val="InternetLink"/>
                  <w:rFonts w:ascii="Times New Roman;sans-serif" w:hAnsi="Times New Roman;sans-serif"/>
                  <w:b w:val="false"/>
                  <w:strike w:val="false"/>
                  <w:dstrike w:val="false"/>
                  <w:color w:val="000000"/>
                  <w:sz w:val="20"/>
                  <w:u w:val="none"/>
                  <w:effect w:val="none"/>
                </w:rPr>
                <w:t>34</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18">
              <w:r>
                <w:rPr>
                  <w:rStyle w:val="InternetLink"/>
                  <w:rFonts w:ascii="Times New Roman;sans-serif" w:hAnsi="Times New Roman;sans-serif"/>
                  <w:b w:val="false"/>
                  <w:color w:val="0000FF"/>
                  <w:sz w:val="20"/>
                  <w:u w:val="single"/>
                </w:rPr>
                <w:t>Item 1A.</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18">
              <w:r>
                <w:rPr>
                  <w:rStyle w:val="InternetLink"/>
                  <w:rFonts w:ascii="Times New Roman;sans-serif" w:hAnsi="Times New Roman;sans-serif"/>
                  <w:b w:val="false"/>
                  <w:color w:val="0000FF"/>
                  <w:sz w:val="20"/>
                  <w:u w:val="single"/>
                </w:rPr>
                <w:t>Risk Factors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18">
              <w:r>
                <w:rPr>
                  <w:rStyle w:val="InternetLink"/>
                  <w:rFonts w:ascii="Times New Roman;sans-serif" w:hAnsi="Times New Roman;sans-serif"/>
                  <w:b w:val="false"/>
                  <w:strike w:val="false"/>
                  <w:dstrike w:val="false"/>
                  <w:color w:val="000000"/>
                  <w:sz w:val="20"/>
                  <w:u w:val="none"/>
                  <w:effect w:val="none"/>
                </w:rPr>
                <w:t>34</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21">
              <w:r>
                <w:rPr>
                  <w:rStyle w:val="InternetLink"/>
                  <w:rFonts w:ascii="Times New Roman;sans-serif" w:hAnsi="Times New Roman;sans-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21">
              <w:r>
                <w:rPr>
                  <w:rStyle w:val="InternetLink"/>
                  <w:rFonts w:ascii="Times New Roman;sans-serif" w:hAnsi="Times New Roman;sans-serif"/>
                  <w:b w:val="false"/>
                  <w:color w:val="0000FF"/>
                  <w:sz w:val="20"/>
                  <w:u w:val="single"/>
                </w:rPr>
                <w:t>Unregistered Sales of Equity Securities and Use of Proceeds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21">
              <w:r>
                <w:rPr>
                  <w:rStyle w:val="InternetLink"/>
                  <w:rFonts w:ascii="Times New Roman;sans-serif" w:hAnsi="Times New Roman;sans-serif"/>
                  <w:b w:val="false"/>
                  <w:strike w:val="false"/>
                  <w:dstrike w:val="false"/>
                  <w:color w:val="000000"/>
                  <w:sz w:val="20"/>
                  <w:u w:val="none"/>
                  <w:effect w:val="none"/>
                </w:rPr>
                <w:t>34</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24">
              <w:r>
                <w:rPr>
                  <w:rStyle w:val="InternetLink"/>
                  <w:rFonts w:ascii="Times New Roman;sans-serif" w:hAnsi="Times New Roman;sans-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24">
              <w:r>
                <w:rPr>
                  <w:rStyle w:val="InternetLink"/>
                  <w:rFonts w:ascii="Times New Roman;sans-serif" w:hAnsi="Times New Roman;sans-serif"/>
                  <w:b w:val="false"/>
                  <w:color w:val="0000FF"/>
                  <w:sz w:val="20"/>
                  <w:u w:val="single"/>
                </w:rPr>
                <w:t>Defaults Upon Senior Securities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24">
              <w:r>
                <w:rPr>
                  <w:rStyle w:val="InternetLink"/>
                  <w:rFonts w:ascii="Times New Roman;sans-serif" w:hAnsi="Times New Roman;sans-serif"/>
                  <w:b w:val="false"/>
                  <w:strike w:val="false"/>
                  <w:dstrike w:val="false"/>
                  <w:color w:val="000000"/>
                  <w:sz w:val="20"/>
                  <w:u w:val="none"/>
                  <w:effect w:val="none"/>
                </w:rPr>
                <w:t>34</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27">
              <w:r>
                <w:rPr>
                  <w:rStyle w:val="InternetLink"/>
                  <w:rFonts w:ascii="Times New Roman;sans-serif" w:hAnsi="Times New Roman;sans-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27">
              <w:r>
                <w:rPr>
                  <w:rStyle w:val="InternetLink"/>
                  <w:rFonts w:ascii="Times New Roman;sans-serif" w:hAnsi="Times New Roman;sans-serif"/>
                  <w:b w:val="false"/>
                  <w:color w:val="0000FF"/>
                  <w:sz w:val="20"/>
                  <w:u w:val="single"/>
                </w:rPr>
                <w:t>Mine Safety Disclosures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27">
              <w:r>
                <w:rPr>
                  <w:rStyle w:val="InternetLink"/>
                  <w:rFonts w:ascii="Times New Roman;sans-serif" w:hAnsi="Times New Roman;sans-serif"/>
                  <w:b w:val="false"/>
                  <w:strike w:val="false"/>
                  <w:dstrike w:val="false"/>
                  <w:color w:val="000000"/>
                  <w:sz w:val="20"/>
                  <w:u w:val="none"/>
                  <w:effect w:val="none"/>
                </w:rPr>
                <w:t>34</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30">
              <w:r>
                <w:rPr>
                  <w:rStyle w:val="InternetLink"/>
                  <w:rFonts w:ascii="Times New Roman;sans-serif" w:hAnsi="Times New Roman;sans-serif"/>
                  <w:b w:val="false"/>
                  <w:color w:val="0000FF"/>
                  <w:sz w:val="20"/>
                  <w:u w:val="single"/>
                </w:rPr>
                <w:t>Item 5.</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30">
              <w:r>
                <w:rPr>
                  <w:rStyle w:val="InternetLink"/>
                  <w:rFonts w:ascii="Times New Roman;sans-serif" w:hAnsi="Times New Roman;sans-serif"/>
                  <w:b w:val="false"/>
                  <w:color w:val="0000FF"/>
                  <w:sz w:val="20"/>
                  <w:u w:val="single"/>
                </w:rPr>
                <w:t>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30">
              <w:r>
                <w:rPr>
                  <w:rStyle w:val="InternetLink"/>
                  <w:rFonts w:ascii="Times New Roman;sans-serif" w:hAnsi="Times New Roman;sans-serif"/>
                  <w:b w:val="false"/>
                  <w:strike w:val="false"/>
                  <w:dstrike w:val="false"/>
                  <w:color w:val="000000"/>
                  <w:sz w:val="20"/>
                  <w:u w:val="none"/>
                  <w:effect w:val="none"/>
                </w:rPr>
                <w:t>34</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33">
              <w:r>
                <w:rPr>
                  <w:rStyle w:val="InternetLink"/>
                  <w:rFonts w:ascii="Times New Roman;sans-serif" w:hAnsi="Times New Roman;sans-serif"/>
                  <w:b w:val="false"/>
                  <w:color w:val="0000FF"/>
                  <w:sz w:val="20"/>
                  <w:u w:val="single"/>
                </w:rPr>
                <w:t>Item 6.</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33">
              <w:r>
                <w:rPr>
                  <w:rStyle w:val="InternetLink"/>
                  <w:rFonts w:ascii="Times New Roman;sans-serif" w:hAnsi="Times New Roman;sans-serif"/>
                  <w:b w:val="false"/>
                  <w:color w:val="0000FF"/>
                  <w:sz w:val="20"/>
                  <w:u w:val="single"/>
                </w:rPr>
                <w:t>Exhibits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33">
              <w:r>
                <w:rPr>
                  <w:rStyle w:val="InternetLink"/>
                  <w:rFonts w:ascii="Times New Roman;sans-serif" w:hAnsi="Times New Roman;sans-serif"/>
                  <w:b w:val="false"/>
                  <w:strike w:val="false"/>
                  <w:dstrike w:val="false"/>
                  <w:color w:val="000000"/>
                  <w:sz w:val="20"/>
                  <w:u w:val="none"/>
                  <w:effect w:val="none"/>
                </w:rPr>
                <w:t>35</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ab77b121bb461593aa85859819327c_136">
              <w:r>
                <w:rPr>
                  <w:rStyle w:val="InternetLink"/>
                  <w:rFonts w:ascii="Times New Roman;sans-serif" w:hAnsi="Times New Roman;sans-serif"/>
                  <w:b w:val="false"/>
                  <w:color w:val="0000FF"/>
                  <w:sz w:val="20"/>
                  <w:u w:val="single"/>
                </w:rPr>
                <w:t>Signatures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ab77b121bb461593aa85859819327c_136">
              <w:r>
                <w:rPr>
                  <w:rStyle w:val="InternetLink"/>
                  <w:rFonts w:ascii="Times New Roman;sans-serif" w:hAnsi="Times New Roman;sans-serif"/>
                  <w:b w:val="false"/>
                  <w:strike w:val="false"/>
                  <w:dstrike w:val="false"/>
                  <w:color w:val="000000"/>
                  <w:sz w:val="20"/>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07"/>
        <w:gridCol w:w="2212"/>
        <w:gridCol w:w="2227"/>
        <w:gridCol w:w="204"/>
        <w:gridCol w:w="906"/>
        <w:gridCol w:w="113"/>
        <w:gridCol w:w="109"/>
        <w:gridCol w:w="109"/>
        <w:gridCol w:w="109"/>
        <w:gridCol w:w="225"/>
        <w:gridCol w:w="1003"/>
        <w:gridCol w:w="181"/>
      </w:tblGrid>
      <w:tr>
        <w:trPr/>
        <w:tc>
          <w:tcPr>
            <w:tcW w:w="2807"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par value and share data)</w:t>
            </w:r>
          </w:p>
        </w:tc>
        <w:tc>
          <w:tcPr>
            <w:tcW w:w="12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current assets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 commodity derivatives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135,221 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gas properties, successful efforts method</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1,646,260 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1,540,021 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depletion</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(691,277)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(643,051)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property and equipment, net</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954,983 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896,970 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assets:</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 commodity derivatives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assets</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1,087,436 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1,036,479 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2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commodity derivatives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107,231 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101,808 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 commodity derivatives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Asset retirement obligations </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348,792 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299,318 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456,023 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401,126 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431,000,000 shares authorized, 136,824,466 and 136,417,677 issued at March 31, 2025 and December 31, 2024, respectively</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656,125 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655,472 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5,686,711 and 5,683,921 shares at March 31, 2025 and December 31, 2024, respectively</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(36,196)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631,413 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635,353 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1,087,436 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1,036,479 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6834" w:type="dxa"/>
        <w:jc w:val="left"/>
        <w:tblInd w:w="0" w:type="dxa"/>
        <w:tblLayout w:type="fixed"/>
        <w:tblCellMar>
          <w:top w:w="28" w:type="dxa"/>
          <w:left w:w="28" w:type="dxa"/>
          <w:bottom w:w="28" w:type="dxa"/>
          <w:right w:w="28" w:type="dxa"/>
        </w:tblCellMar>
      </w:tblPr>
      <w:tblGrid>
        <w:gridCol w:w="1546"/>
        <w:gridCol w:w="1360"/>
        <w:gridCol w:w="1369"/>
        <w:gridCol w:w="211"/>
        <w:gridCol w:w="826"/>
        <w:gridCol w:w="109"/>
        <w:gridCol w:w="109"/>
        <w:gridCol w:w="109"/>
        <w:gridCol w:w="109"/>
        <w:gridCol w:w="211"/>
        <w:gridCol w:w="721"/>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and 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 of unproved properties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derivatives - commodity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(loss) on equity investments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130,136</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130,160</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63"/>
        <w:gridCol w:w="507"/>
        <w:gridCol w:w="508"/>
        <w:gridCol w:w="229"/>
        <w:gridCol w:w="229"/>
        <w:gridCol w:w="233"/>
        <w:gridCol w:w="126"/>
        <w:gridCol w:w="126"/>
        <w:gridCol w:w="126"/>
        <w:gridCol w:w="327"/>
        <w:gridCol w:w="181"/>
        <w:gridCol w:w="183"/>
        <w:gridCol w:w="109"/>
        <w:gridCol w:w="109"/>
        <w:gridCol w:w="109"/>
        <w:gridCol w:w="196"/>
        <w:gridCol w:w="736"/>
        <w:gridCol w:w="109"/>
        <w:gridCol w:w="109"/>
        <w:gridCol w:w="109"/>
        <w:gridCol w:w="109"/>
        <w:gridCol w:w="367"/>
        <w:gridCol w:w="309"/>
        <w:gridCol w:w="303"/>
        <w:gridCol w:w="109"/>
        <w:gridCol w:w="109"/>
        <w:gridCol w:w="109"/>
        <w:gridCol w:w="300"/>
        <w:gridCol w:w="285"/>
        <w:gridCol w:w="199"/>
        <w:gridCol w:w="109"/>
        <w:gridCol w:w="109"/>
        <w:gridCol w:w="109"/>
        <w:gridCol w:w="196"/>
        <w:gridCol w:w="676"/>
        <w:gridCol w:w="109"/>
        <w:gridCol w:w="109"/>
        <w:gridCol w:w="109"/>
        <w:gridCol w:w="109"/>
        <w:gridCol w:w="223"/>
        <w:gridCol w:w="841"/>
        <w:gridCol w:w="183"/>
      </w:tblGrid>
      <w:tr>
        <w:trPr/>
        <w:tc>
          <w:tcPr>
            <w:tcW w:w="7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1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7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January 1, 2025</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136,418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635,353 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Forfeitures of restricted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($0.11 per 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(14,389)</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w:t>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2025</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136,824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(5,687)</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631,413</w:t>
            </w:r>
          </w:p>
        </w:tc>
      </w:tr>
    </w:tbl>
    <w:tbl>
      <w:tblPr>
        <w:tblW w:w="10205" w:type="dxa"/>
        <w:jc w:val="left"/>
        <w:tblInd w:w="0" w:type="dxa"/>
        <w:tblLayout w:type="fixed"/>
        <w:tblCellMar>
          <w:top w:w="28" w:type="dxa"/>
          <w:left w:w="28" w:type="dxa"/>
          <w:bottom w:w="28" w:type="dxa"/>
          <w:right w:w="28" w:type="dxa"/>
        </w:tblCellMar>
      </w:tblPr>
      <w:tblGrid>
        <w:gridCol w:w="756"/>
        <w:gridCol w:w="497"/>
        <w:gridCol w:w="499"/>
        <w:gridCol w:w="229"/>
        <w:gridCol w:w="229"/>
        <w:gridCol w:w="233"/>
        <w:gridCol w:w="125"/>
        <w:gridCol w:w="125"/>
        <w:gridCol w:w="125"/>
        <w:gridCol w:w="327"/>
        <w:gridCol w:w="181"/>
        <w:gridCol w:w="183"/>
        <w:gridCol w:w="109"/>
        <w:gridCol w:w="109"/>
        <w:gridCol w:w="109"/>
        <w:gridCol w:w="412"/>
        <w:gridCol w:w="344"/>
        <w:gridCol w:w="347"/>
        <w:gridCol w:w="109"/>
        <w:gridCol w:w="109"/>
        <w:gridCol w:w="109"/>
        <w:gridCol w:w="434"/>
        <w:gridCol w:w="326"/>
        <w:gridCol w:w="275"/>
        <w:gridCol w:w="109"/>
        <w:gridCol w:w="109"/>
        <w:gridCol w:w="109"/>
        <w:gridCol w:w="198"/>
        <w:gridCol w:w="198"/>
        <w:gridCol w:w="199"/>
        <w:gridCol w:w="112"/>
        <w:gridCol w:w="112"/>
        <w:gridCol w:w="112"/>
        <w:gridCol w:w="330"/>
        <w:gridCol w:w="335"/>
        <w:gridCol w:w="340"/>
        <w:gridCol w:w="109"/>
        <w:gridCol w:w="109"/>
        <w:gridCol w:w="109"/>
        <w:gridCol w:w="527"/>
        <w:gridCol w:w="360"/>
        <w:gridCol w:w="427"/>
      </w:tblGrid>
      <w:tr>
        <w:trPr/>
        <w:tc>
          <w:tcPr>
            <w:tcW w:w="7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17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January 1, 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136,041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671,645</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 declared ($0.11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(14,349)</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(14,349)</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16,227</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2024</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136,424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674,018</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876" w:type="dxa"/>
        <w:jc w:val="left"/>
        <w:tblInd w:w="0" w:type="dxa"/>
        <w:tblLayout w:type="fixed"/>
        <w:tblCellMar>
          <w:top w:w="28" w:type="dxa"/>
          <w:left w:w="28" w:type="dxa"/>
          <w:bottom w:w="28" w:type="dxa"/>
          <w:right w:w="28" w:type="dxa"/>
        </w:tblCellMar>
      </w:tblPr>
      <w:tblGrid>
        <w:gridCol w:w="2329"/>
        <w:gridCol w:w="2051"/>
        <w:gridCol w:w="2055"/>
        <w:gridCol w:w="210"/>
        <w:gridCol w:w="694"/>
        <w:gridCol w:w="117"/>
        <w:gridCol w:w="117"/>
        <w:gridCol w:w="117"/>
        <w:gridCol w:w="117"/>
        <w:gridCol w:w="210"/>
        <w:gridCol w:w="694"/>
        <w:gridCol w:w="165"/>
      </w:tblGrid>
      <w:tr>
        <w:trPr/>
        <w:tc>
          <w:tcPr>
            <w:tcW w:w="232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 of unproved properties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derivatives - commodity derivatives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(Gain) loss on equity investments </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attributable to changes in operating assets and liabilities: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receivable</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current assets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payable</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76,091 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68,656 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for oil and natural gas properties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(66,728)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(69,660)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(34,692)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Refund of advances to operators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oil and natural gas properties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(99,997)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(71,005)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 on credit facilities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shares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dividends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30,595 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change in cash and restricted cash</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 at end of period</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activities: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accrued capital expenditures included in accounts payable and accrued liabilities</w:t>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to operators applied to development of oil and natural gas properties</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Restricted cash included in other long-term assets </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and restricted cash</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color w:val="000000"/>
          <w:sz w:val="20"/>
        </w:rPr>
        <w:t>The accompanying notes are an integral part to these condensed consolidated financial statements.</w:t>
      </w:r>
      <w:r>
        <w:rPr>
          <w:rFonts w:ascii="Georgia;serif" w:hAnsi="Georgia;serif"/>
          <w:b w:val="false"/>
          <w:color w:val="C0C0C0"/>
          <w:sz w:val="2"/>
        </w:rPr>
        <w:t>FT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Nature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Resources, Inc. (together with its consolidated subsidiaries, “Granite Ridge” or the “Company”), a Delaware corporation, is a scaled energy company which aims to provide shareholders with exposure similar to energy private equity through operated partnerships and traditional non-operated assets in multiple basins throughout North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complete discussion of the Company’s significant accounting policies is included in the 2024 Form 10-K.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Interim Financial Statements, Basis of Presentation, Consolidation, and Significant Estimates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have been prepared in conformity with accounting principles generally accepted in the United States of America (“U.S. GAAP”). The accompanying condensed consolidated financial statements include the accounts of the Company and all of its wholly owned subsidiaries. All intercompany balances and transactions have been eliminated in consolidation.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of the Company have not been audited by the Company’s independent registered public accounting firm, except that the condensed consolidated balance sheet at December 31, 2024 is derived from audited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 Additional significant estimates include, but are not limited to, fair value of derivative financial instruments, fair value of equity investments, fair value of business combinations, asset retirement obligations, revenue receivable and income taxes. Actual results could differ from those estimates. The results for interim periods are not necessarily indicative of annual results.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2024 Form 10-K.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reclassifications have been made to prior period amounts to conform to the current period presentation.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one reporting segment, which is oil and natural gas development, exploration and production. All of the Company's operations are conducted in the geographic area of the United States. The reporting segment generates revenue through the sale of oil and natural gas. The Company’s chief operating decision maker (“CODM”), who is the Company’s Chief Executive Officer, manages operations on a consolidated basis for purposes of evaluating operational performance and allocating resources. Net income, as reported within the Company’s condensed consolidated statement of operations, is used by the CODM to assess performance for the oil and natural gas development, exploration and production segment. Significant segment expenses are the same as those reported in the condensed consolidated statement of operations. Total assets, as reported within the Company’s condensed consolidated balance sheets, is the measure of segment assets.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Oil and Natural Gas Properties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uses the successful efforts method of accounting for oil and natural gas producing activities, as further defined under Accounting Standards Codification ("ASC") 932, </w:t>
      </w:r>
      <w:r>
        <w:rPr>
          <w:rFonts w:ascii="Times New Roman;sans-serif" w:hAnsi="Times New Roman;sans-serif"/>
          <w:b w:val="false"/>
          <w:i/>
          <w:color w:val="000000"/>
          <w:sz w:val="20"/>
        </w:rPr>
        <w:t>Extractive Activities - Oil and Gas</w:t>
      </w:r>
      <w:r>
        <w:rPr>
          <w:color w:val="000000"/>
        </w:rPr>
        <w:t xml:space="preserve"> </w:t>
      </w:r>
      <w:r>
        <w:rPr>
          <w:rFonts w:ascii="Times New Roman;sans-serif" w:hAnsi="Times New Roman;sans-serif"/>
          <w:b w:val="false"/>
          <w:color w:val="000000"/>
          <w:sz w:val="20"/>
        </w:rPr>
        <w:t xml:space="preserve">(“ASC 932”). Costs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$48.2 million and $40.8 million for the three months ended March 31, 2025 and 2024, respectively.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is recognized at that time. The fair value of impaired assets is determined using the market or income valuation approach. The income approach is calculated using a discounted cash flow model. Discounted future cash flows use a discount rate similar to that used by market participants, or comparable market value if available. Estimating future cash flows involves the use of judgments, including estimation of the proved and risk-adjusted unproved oil and natural gas reserve quantities, timing of development and production, expected future commodity prices, capital expenditures and production costs. There was no proved property impairment recorded for the three months ended March 31, 2025 or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Unproved oil and natural gas properties are periodically assessed for impairment by considering future drilling and exploration plans, results of exploration activities, commodity price outlooks, planned future sales and expiration of all or a portion of the projects. The Company recorded unproved oil and gas properties impairment of $0.7 million for the three months ended March 31, 2024 in the Permian Basin. There was no unproved property impairment recorded for the three months ended March 31, 2025.</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Company completed the sale of certain of its Permian Basin assets to Vital Energy, Inc. ("Vital Energy") for consideration of 561,752 shares of Vital Energy's common stock and 541,155 shares of Vital Energy's 2.0% cumulative mandatorily convertible preferred securities. On June 4, 2024, the 2.0% cumulative mandatorily convertible preferred securities were converted into the equivalent number of shares of Vital Energy’s common stock. As of March 31, 2025, the Company held 1,027,907 shares of Vital Energy’s common stock. </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follows the guidance in ASC 321, </w:t>
      </w:r>
      <w:r>
        <w:rPr>
          <w:rFonts w:ascii="Times New Roman;sans-serif" w:hAnsi="Times New Roman;sans-serif"/>
          <w:b w:val="false"/>
          <w:i/>
          <w:color w:val="000000"/>
          <w:sz w:val="20"/>
        </w:rPr>
        <w:t>Investments - Equity Securities</w:t>
      </w:r>
      <w:r>
        <w:rPr>
          <w:color w:val="000000"/>
        </w:rPr>
        <w:t xml:space="preserve"> </w:t>
      </w:r>
      <w:r>
        <w:rPr>
          <w:rFonts w:ascii="Times New Roman;sans-serif" w:hAnsi="Times New Roman;sans-serif"/>
          <w:b w:val="false"/>
          <w:color w:val="000000"/>
          <w:sz w:val="20"/>
        </w:rPr>
        <w:t>("ASC 321") for its investment in the common and preferred stock of Vital Energy. ASC 321 requires equity investments with readily determinable fair values to be measured at fair value, with unrealized holding gains and losses recorded as a gain or loss in the condensed consolidated statements of operations. For the preferred stock that did not have a readily determinable fair value, the Company did not elect the measurement alternative in ASC 321 and instead accounted for the preferred stock at fair value with unrealized gains and losses recorded through net income for the period until the preferred stock was converted into common stock. For the three months ended March 31, 2025 and 2024, an unrealized loss of $10.0 million and an unrealized gain of $7.8 million, respectively, is included in gain (loss) on equity investments within the condensed consolidated statements of operations that reflects the change in fair value of common and preferred stock.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obligations are satisfied when the customer obtains control of the product, when the Company has no further obligations to perform related to the sale, when the transaction price has been determined, and when collectability is probable.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condensed consolidated statements of operations. At the end of each month when the performance obligation is satisfied, the variable consideration can be reasonably estimated and amounts due from customers are accrued in revenue receivable in the condensed consolidated balance sheets. Variances between the Company’s estimated revenue and actual payments are recorded in the month the payment is received; however, differences have been and are insignificant.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Take-in Kind Oil and Natural Gas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arrangements, the Company has the right to take a volume of unprocessed gas in kind at the operator's wellhead, representing its proportionate share of its natural gas production, in lieu of receiving a net payment from the operator. The Company currently takes certain natural gas volumes in kind in lieu of monetary settlement. When the Company elects to take volumes in kind, it pays third parties to transport the natural gas it took in 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volumes to downstream customers are recorded in lease operating expenses in the condensed consolidated statements of operations.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Disaggregated Oil and Natural Gas Revenues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disaggregated revenue has two primary sources: oil sales and natural gas sales. Substantially all of the Company’s oil and natural gas sales come from six geographic areas in the United States: the Eagle Ford Basin (Texas), the Permian Basin (Texas/New Mexico), the Haynesville Basin (Texas/Louisiana), the Denver-Julesburg “DJ” Basin (Colorado), the Bakken Basin (Montana/North Dakota), and Appalachian Basin (Ohio). The following tables present the disaggregation of the Company’s oil and natural gas revenues by basin for the three months ended March 31, 2025 and 2024.</w:t>
      </w:r>
    </w:p>
    <w:tbl>
      <w:tblPr>
        <w:tblW w:w="3724" w:type="dxa"/>
        <w:jc w:val="left"/>
        <w:tblInd w:w="0" w:type="dxa"/>
        <w:tblLayout w:type="fixed"/>
        <w:tblCellMar>
          <w:top w:w="28" w:type="dxa"/>
          <w:left w:w="28" w:type="dxa"/>
          <w:bottom w:w="28" w:type="dxa"/>
          <w:right w:w="28" w:type="dxa"/>
        </w:tblCellMar>
      </w:tblPr>
      <w:tblGrid>
        <w:gridCol w:w="429"/>
        <w:gridCol w:w="377"/>
        <w:gridCol w:w="359"/>
        <w:gridCol w:w="211"/>
        <w:gridCol w:w="826"/>
        <w:gridCol w:w="109"/>
        <w:gridCol w:w="109"/>
        <w:gridCol w:w="109"/>
        <w:gridCol w:w="109"/>
        <w:gridCol w:w="211"/>
        <w:gridCol w:w="721"/>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Bakken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Appalachian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and Applicable Accounting Pronouncements (Issued and Not Yet Adopted)</w:t>
      </w:r>
    </w:p>
    <w:p>
      <w:pPr>
        <w:pStyle w:val="TextBody"/>
        <w:bidi w:val="0"/>
        <w:spacing w:lineRule="auto" w:line="288" w:before="240" w:after="283"/>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 2023-09 was effective for annual periods beginning after December 15, 2024. Early adoption is permitted. The Company has not early adopted the standard and is currently assessing the effect that ASU 2023-09 will have on its disclosures.</w:t>
      </w:r>
    </w:p>
    <w:p>
      <w:pPr>
        <w:pStyle w:val="TextBody"/>
        <w:bidi w:val="0"/>
        <w:spacing w:lineRule="auto" w:line="288" w:before="240" w:after="283"/>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Disaggregation of Income Statement Expenses</w:t>
      </w:r>
      <w:r>
        <w:rPr>
          <w:color w:val="000000"/>
        </w:rPr>
        <w:t xml:space="preserve"> </w:t>
      </w:r>
      <w:r>
        <w:rPr>
          <w:rFonts w:ascii="Times New Roman;sans-serif" w:hAnsi="Times New Roman;sans-serif"/>
          <w:b w:val="false"/>
          <w:color w:val="000000"/>
          <w:sz w:val="20"/>
        </w:rPr>
        <w:t xml:space="preserve">("ASU 2024-03"), which requires enhanced disclosure about specific types of expenses included in the expense captions presented on the face of the consolidated statement of operations as well as disclosures about selling expenses. ASU 2024-03 is effective for annual periods beginning after December 15, 2026 and interim periods beginning after December 15, 2027. Early adoption is permitted. The Company has not early adopted the standard and is currently assessing the effect that ASU 2024-03 will have on its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speculative trading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designate its derivative instruments to qualify for hedge accounting. Accordingly, the Company reflects changes in the fair value of its derivative instruments in its condensed consolidated statements of operations as they occur.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Collar Option Contracts and Swaps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consist of collar option contracts and swaps.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swap contract allows the Company to receive a fixed price and pay a floating market price to the counterparty for the hedged commodity.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master netting agreements on individual derivative instruments with its counterparties and therefore certain amounts may be presented on a net basis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Volume of Derivative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Company’s outstanding commodity derivative contracts as of March 31, 2025. </w:t>
      </w:r>
    </w:p>
    <w:tbl>
      <w:tblPr>
        <w:tblW w:w="10205" w:type="dxa"/>
        <w:jc w:val="left"/>
        <w:tblInd w:w="0" w:type="dxa"/>
        <w:tblLayout w:type="fixed"/>
        <w:tblCellMar>
          <w:top w:w="28" w:type="dxa"/>
          <w:left w:w="28" w:type="dxa"/>
          <w:bottom w:w="28" w:type="dxa"/>
          <w:right w:w="28" w:type="dxa"/>
        </w:tblCellMar>
      </w:tblPr>
      <w:tblGrid>
        <w:gridCol w:w="1434"/>
        <w:gridCol w:w="918"/>
        <w:gridCol w:w="927"/>
        <w:gridCol w:w="109"/>
        <w:gridCol w:w="109"/>
        <w:gridCol w:w="284"/>
        <w:gridCol w:w="825"/>
        <w:gridCol w:w="144"/>
        <w:gridCol w:w="109"/>
        <w:gridCol w:w="109"/>
        <w:gridCol w:w="109"/>
        <w:gridCol w:w="260"/>
        <w:gridCol w:w="758"/>
        <w:gridCol w:w="133"/>
        <w:gridCol w:w="109"/>
        <w:gridCol w:w="109"/>
        <w:gridCol w:w="109"/>
        <w:gridCol w:w="284"/>
        <w:gridCol w:w="825"/>
        <w:gridCol w:w="144"/>
        <w:gridCol w:w="109"/>
        <w:gridCol w:w="109"/>
        <w:gridCol w:w="109"/>
        <w:gridCol w:w="249"/>
        <w:gridCol w:w="727"/>
        <w:gridCol w:w="109"/>
        <w:gridCol w:w="211"/>
        <w:gridCol w:w="616"/>
        <w:gridCol w:w="158"/>
      </w:tblGrid>
      <w:tr>
        <w:trPr/>
        <w:tc>
          <w:tcPr>
            <w:tcW w:w="14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9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r>
      <w:tr>
        <w:trP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2,433,476</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2,104,980</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Collar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3,550,615 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9,906,446</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floor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ceiling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Swaps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4,391,520 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2,288,450 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3,641,400</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reported in the condensed consolidated statements of operations related to the commodity derivative instruments for the three months ended March 31, 2025 and 2024:</w:t>
      </w:r>
    </w:p>
    <w:tbl>
      <w:tblPr>
        <w:tblW w:w="5664" w:type="dxa"/>
        <w:jc w:val="left"/>
        <w:tblInd w:w="0" w:type="dxa"/>
        <w:tblLayout w:type="fixed"/>
        <w:tblCellMar>
          <w:top w:w="28" w:type="dxa"/>
          <w:left w:w="28" w:type="dxa"/>
          <w:bottom w:w="28" w:type="dxa"/>
          <w:right w:w="28" w:type="dxa"/>
        </w:tblCellMar>
      </w:tblPr>
      <w:tblGrid>
        <w:gridCol w:w="1146"/>
        <w:gridCol w:w="1008"/>
        <w:gridCol w:w="1011"/>
        <w:gridCol w:w="211"/>
        <w:gridCol w:w="796"/>
        <w:gridCol w:w="109"/>
        <w:gridCol w:w="109"/>
        <w:gridCol w:w="109"/>
        <w:gridCol w:w="109"/>
        <w:gridCol w:w="211"/>
        <w:gridCol w:w="69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Company’s net cash receipts (payments on) commodity derivatives for the three months ended March 31, 2025 and 2024:</w:t>
      </w:r>
    </w:p>
    <w:tbl>
      <w:tblPr>
        <w:tblW w:w="7463" w:type="dxa"/>
        <w:jc w:val="left"/>
        <w:tblInd w:w="0" w:type="dxa"/>
        <w:tblLayout w:type="fixed"/>
        <w:tblCellMar>
          <w:top w:w="28" w:type="dxa"/>
          <w:left w:w="28" w:type="dxa"/>
          <w:bottom w:w="28" w:type="dxa"/>
          <w:right w:w="28" w:type="dxa"/>
        </w:tblCellMar>
      </w:tblPr>
      <w:tblGrid>
        <w:gridCol w:w="1819"/>
        <w:gridCol w:w="1600"/>
        <w:gridCol w:w="1605"/>
        <w:gridCol w:w="237"/>
        <w:gridCol w:w="610"/>
        <w:gridCol w:w="122"/>
        <w:gridCol w:w="122"/>
        <w:gridCol w:w="122"/>
        <w:gridCol w:w="122"/>
        <w:gridCol w:w="237"/>
        <w:gridCol w:w="694"/>
        <w:gridCol w:w="173"/>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has adopted and follows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Inputs are unadjusted, quoted prices in active markets for identical assets or liabilities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amounts and fair values of the Company’s financial instruments as of March 31, 2025 and December 31, 2024:</w:t>
      </w:r>
    </w:p>
    <w:tbl>
      <w:tblPr>
        <w:tblW w:w="9798" w:type="dxa"/>
        <w:jc w:val="left"/>
        <w:tblInd w:w="0" w:type="dxa"/>
        <w:tblLayout w:type="fixed"/>
        <w:tblCellMar>
          <w:top w:w="28" w:type="dxa"/>
          <w:left w:w="28" w:type="dxa"/>
          <w:bottom w:w="28" w:type="dxa"/>
          <w:right w:w="28" w:type="dxa"/>
        </w:tblCellMar>
      </w:tblPr>
      <w:tblGrid>
        <w:gridCol w:w="1443"/>
        <w:gridCol w:w="1270"/>
        <w:gridCol w:w="1277"/>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16"/>
              </w:rPr>
              <w:t>(</w:t>
            </w:r>
            <w:r>
              <w:rPr>
                <w:rFonts w:ascii="Times New Roman;sans-serif" w:hAnsi="Times New Roman;sans-serif"/>
                <w:b/>
                <w:i/>
                <w:color w:val="000000"/>
                <w:sz w:val="16"/>
              </w:rPr>
              <w:t>in thousands)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facilities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 commodity derivatives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i/>
          <w:color w:val="000000"/>
          <w:sz w:val="20"/>
        </w:rPr>
        <w:t>Revolving credit facilities</w:t>
      </w:r>
      <w:r>
        <w:rPr>
          <w:color w:val="000000"/>
        </w:rPr>
        <w:t xml:space="preserve"> — </w:t>
      </w:r>
      <w:r>
        <w:rPr>
          <w:rFonts w:ascii="Times New Roman;sans-serif" w:hAnsi="Times New Roman;sans-serif"/>
          <w:b w:val="false"/>
          <w:color w:val="000000"/>
          <w:sz w:val="20"/>
        </w:rPr>
        <w:t>The carrying amounts of the revolving credit facilities approximate their fair values, as the applicable interest rates are variable and reflective of market rates.</w:t>
      </w:r>
    </w:p>
    <w:p>
      <w:pPr>
        <w:pStyle w:val="TextBody"/>
        <w:bidi w:val="0"/>
        <w:spacing w:lineRule="auto" w:line="288" w:before="240" w:after="283"/>
        <w:jc w:val="both"/>
        <w:rPr/>
      </w:pPr>
      <w:r>
        <w:rPr>
          <w:rFonts w:ascii="Times New Roman;sans-serif" w:hAnsi="Times New Roman;sans-serif"/>
          <w:b w:val="false"/>
          <w:i/>
          <w:color w:val="000000"/>
          <w:sz w:val="20"/>
        </w:rPr>
        <w:t>Other financial assets and liabilities</w:t>
      </w:r>
      <w:r>
        <w:rPr>
          <w:color w:val="000000"/>
        </w:rPr>
        <w:t xml:space="preserve"> — </w:t>
      </w:r>
      <w:r>
        <w:rPr>
          <w:rFonts w:ascii="Times New Roman;sans-serif" w:hAnsi="Times New Roman;sans-serif"/>
          <w:b w:val="false"/>
          <w:color w:val="000000"/>
          <w:sz w:val="20"/>
        </w:rPr>
        <w:t>The carrying amounts of the Company’s other financial assets and liabilities, such as revenue receivable and accrued liabilities, approximate their fair values because of the short maturity of these instruments.</w:t>
      </w:r>
    </w:p>
    <w:p>
      <w:pPr>
        <w:pStyle w:val="TextBody"/>
        <w:bidi w:val="0"/>
        <w:spacing w:lineRule="auto" w:line="288" w:before="240" w:after="283"/>
        <w:jc w:val="both"/>
        <w:rPr/>
      </w:pPr>
      <w:r>
        <w:rPr>
          <w:rFonts w:ascii="Times New Roman;sans-serif" w:hAnsi="Times New Roman;sans-serif"/>
          <w:b w:val="false"/>
          <w:i/>
          <w:color w:val="000000"/>
          <w:sz w:val="20"/>
        </w:rPr>
        <w:t>Derivative instruments</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commodity derivatives</w:t>
      </w:r>
      <w:r>
        <w:rPr>
          <w:color w:val="000000"/>
        </w:rPr>
        <w:t xml:space="preserve"> — </w:t>
      </w:r>
      <w:r>
        <w:rPr>
          <w:rFonts w:ascii="Times New Roman;sans-serif" w:hAnsi="Times New Roman;sans-serif"/>
          <w:b w:val="false"/>
          <w:color w:val="000000"/>
          <w:sz w:val="20"/>
        </w:rPr>
        <w:t xml:space="preserve">The fair value of the Company’s derivative instruments is estimated by management considering various factors, including closing exchange and over-the-counter quotations and the time value of the underlying commitments. The fair value of the Company’s commodity derivative instruments is considered to be a Level 2 measurement. </w:t>
      </w:r>
      <w:r>
        <w:rPr>
          <w:rFonts w:ascii="Arial;sans-serif" w:hAnsi="Arial;sans-serif"/>
          <w:b w:val="false"/>
          <w:color w:val="000000"/>
          <w:sz w:val="18"/>
        </w:rPr>
        <w:t>S</w:t>
      </w:r>
      <w:r>
        <w:rPr>
          <w:rFonts w:ascii="Times New Roman;sans-serif" w:hAnsi="Times New Roman;sans-serif"/>
          <w:b w:val="false"/>
          <w:color w:val="000000"/>
          <w:sz w:val="20"/>
        </w:rPr>
        <w:t>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pStyle w:val="TextBody"/>
        <w:bidi w:val="0"/>
        <w:spacing w:lineRule="auto" w:line="288" w:before="240" w:after="283"/>
        <w:jc w:val="both"/>
        <w:rPr/>
      </w:pPr>
      <w:r>
        <w:rPr>
          <w:rFonts w:ascii="Times New Roman;sans-serif" w:hAnsi="Times New Roman;sans-serif"/>
          <w:b w:val="false"/>
          <w:i/>
          <w:color w:val="000000"/>
          <w:sz w:val="20"/>
        </w:rPr>
        <w:t>Equity investment</w:t>
      </w:r>
      <w:r>
        <w:rPr>
          <w:rFonts w:ascii="Times New Roman;sans-serif" w:hAnsi="Times New Roman;sans-serif"/>
          <w:b w:val="false"/>
          <w:color w:val="000000"/>
          <w:sz w:val="20"/>
        </w:rPr>
        <w:t xml:space="preserve">s — The fair value of the Company’s investment in Vital Energy's common stock was valued using the instrument's publicly listed trading price, which is considered to be a Level 1 measurement due to the use of an observable market quote in an active market. The fair value of the Company's investment in Vital Energy's preferred stock was estimated by management considering various factors, including the publicly listed trading price of Vital Energy's common shares and the present value of expected dividends prior to the conversion of the preferred shares. The fair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in preferred stock was considered to be a Level 2 measurement. Substantially all of these inputs are observable in the marketplace throughout the full term of the instrument, can be derived from observable data, or are supported by observable levels at which transactions are executed in the marketplace.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4, 2024, the 2.0% cumulative mandatorily convertible preferred securities of Vital Energy were converted into 541,155 shares of common stock of Vital Energy. Prior to this conversion, the common shares of Vital Energy owned by the Company were not entitled to vote and bore a restricted legend to that effect. As of March 31, 2025 and December 31, 2024, the Company held 1,027,907 shares of Vital Energy’s common stock, for which the fair value is a Level 1 measurement.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 consolidated balance sheets as of March 31, 2025 and December 31, 2024. The Company nets the fair value of commodity derivative instruments by counterparty in the Company’s condensed consolidated balance sheets.</w:t>
      </w:r>
    </w:p>
    <w:tbl>
      <w:tblPr>
        <w:tblW w:w="10205" w:type="dxa"/>
        <w:jc w:val="left"/>
        <w:tblInd w:w="0" w:type="dxa"/>
        <w:tblLayout w:type="fixed"/>
        <w:tblCellMar>
          <w:top w:w="28" w:type="dxa"/>
          <w:left w:w="28" w:type="dxa"/>
          <w:bottom w:w="28" w:type="dxa"/>
          <w:right w:w="28" w:type="dxa"/>
        </w:tblCellMar>
      </w:tblPr>
      <w:tblGrid>
        <w:gridCol w:w="740"/>
        <w:gridCol w:w="614"/>
        <w:gridCol w:w="596"/>
        <w:gridCol w:w="211"/>
        <w:gridCol w:w="721"/>
        <w:gridCol w:w="109"/>
        <w:gridCol w:w="109"/>
        <w:gridCol w:w="109"/>
        <w:gridCol w:w="109"/>
        <w:gridCol w:w="211"/>
        <w:gridCol w:w="754"/>
        <w:gridCol w:w="109"/>
        <w:gridCol w:w="109"/>
        <w:gridCol w:w="109"/>
        <w:gridCol w:w="109"/>
        <w:gridCol w:w="211"/>
        <w:gridCol w:w="406"/>
        <w:gridCol w:w="109"/>
        <w:gridCol w:w="109"/>
        <w:gridCol w:w="109"/>
        <w:gridCol w:w="109"/>
        <w:gridCol w:w="211"/>
        <w:gridCol w:w="754"/>
        <w:gridCol w:w="109"/>
        <w:gridCol w:w="109"/>
        <w:gridCol w:w="109"/>
        <w:gridCol w:w="109"/>
        <w:gridCol w:w="338"/>
        <w:gridCol w:w="773"/>
        <w:gridCol w:w="176"/>
        <w:gridCol w:w="109"/>
        <w:gridCol w:w="109"/>
        <w:gridCol w:w="109"/>
        <w:gridCol w:w="264"/>
        <w:gridCol w:w="957"/>
        <w:gridCol w:w="197"/>
      </w:tblGrid>
      <w:tr>
        <w:trPr/>
        <w:tc>
          <w:tcPr>
            <w:tcW w:w="7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5"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(19,708)</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768"/>
        <w:gridCol w:w="641"/>
        <w:gridCol w:w="624"/>
        <w:gridCol w:w="211"/>
        <w:gridCol w:w="721"/>
        <w:gridCol w:w="109"/>
        <w:gridCol w:w="109"/>
        <w:gridCol w:w="109"/>
        <w:gridCol w:w="109"/>
        <w:gridCol w:w="211"/>
        <w:gridCol w:w="651"/>
        <w:gridCol w:w="109"/>
        <w:gridCol w:w="109"/>
        <w:gridCol w:w="109"/>
        <w:gridCol w:w="109"/>
        <w:gridCol w:w="211"/>
        <w:gridCol w:w="406"/>
        <w:gridCol w:w="109"/>
        <w:gridCol w:w="109"/>
        <w:gridCol w:w="109"/>
        <w:gridCol w:w="109"/>
        <w:gridCol w:w="211"/>
        <w:gridCol w:w="721"/>
        <w:gridCol w:w="109"/>
        <w:gridCol w:w="109"/>
        <w:gridCol w:w="109"/>
        <w:gridCol w:w="109"/>
        <w:gridCol w:w="290"/>
        <w:gridCol w:w="871"/>
        <w:gridCol w:w="150"/>
        <w:gridCol w:w="109"/>
        <w:gridCol w:w="109"/>
        <w:gridCol w:w="109"/>
        <w:gridCol w:w="279"/>
        <w:gridCol w:w="957"/>
        <w:gridCol w:w="211"/>
      </w:tblGrid>
      <w:tr>
        <w:trPr/>
        <w:tc>
          <w:tcPr>
            <w:tcW w:w="76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w:t>
              <w:br/>
              <w:t>Presented in the Condensed</w:t>
              <w:br/>
              <w:t>Consolidated</w:t>
              <w:br/>
              <w:t>Balance Sheet</w:t>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investments - common stock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derivative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Fair Values – Nonrecurring</w:t>
      </w:r>
    </w:p>
    <w:p>
      <w:pPr>
        <w:pStyle w:val="TextBody"/>
        <w:bidi w:val="0"/>
        <w:spacing w:lineRule="auto" w:line="288" w:before="240" w:after="283"/>
        <w:jc w:val="both"/>
        <w:rPr/>
      </w:pPr>
      <w:r>
        <w:rPr>
          <w:rFonts w:ascii="Times New Roman;sans-serif" w:hAnsi="Times New Roman;sans-serif"/>
          <w:b w:val="false"/>
          <w:i/>
          <w:color w:val="000000"/>
          <w:sz w:val="20"/>
        </w:rPr>
        <w:t>Asset retirement obligations</w:t>
      </w:r>
      <w:r>
        <w:rPr>
          <w:color w:val="000000"/>
        </w:rPr>
        <w:t xml:space="preserve"> — </w:t>
      </w:r>
      <w:r>
        <w:rPr>
          <w:rFonts w:ascii="Times New Roman;sans-serif" w:hAnsi="Times New Roman;sans-serif"/>
          <w:b w:val="false"/>
          <w:color w:val="000000"/>
          <w:sz w:val="20"/>
        </w:rPr>
        <w:t>The fair value measurements of asset retirement obligations are measured on a nonrecurring basis when a well is drilled or acquired or when production equipment and facilities are installed or acquired using a discounted cash flow model based on inputs that are not observable in the market and therefore represent Level 3 inputs. Significant inputs to the fair value measurement of asset retirement obligations include estimates of the costs of plugging and abandoning oil and natural gas wells, removing production equipment and facilities and restoring the surface of the land as well as estimates of the economic lives of the oil and natural gas wells and future inflation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Acquisitions and Divestitures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Asset Acquisitions </w:t>
      </w:r>
    </w:p>
    <w:p>
      <w:pPr>
        <w:pStyle w:val="TextBody"/>
        <w:bidi w:val="0"/>
        <w:spacing w:lineRule="auto" w:line="288" w:before="240" w:after="283"/>
        <w:jc w:val="both"/>
        <w:rPr/>
      </w:pPr>
      <w:r>
        <w:rPr>
          <w:rFonts w:ascii="Times New Roman;sans-serif" w:hAnsi="Times New Roman;sans-serif"/>
          <w:b w:val="false"/>
          <w:color w:val="000000"/>
          <w:sz w:val="20"/>
        </w:rPr>
        <w:t xml:space="preserve">During the three months ended March 31, 2025 and 2024, the Company acquired various oil and natural gas properties. The following table presents the cumulative adjusted purchase price of transactions accounted for as asset acquisitions in accordance with ASC Topic 805, </w:t>
      </w:r>
      <w:r>
        <w:rPr>
          <w:rFonts w:ascii="Times New Roman;sans-serif" w:hAnsi="Times New Roman;sans-serif"/>
          <w:b w:val="false"/>
          <w:i/>
          <w:color w:val="000000"/>
          <w:sz w:val="20"/>
        </w:rPr>
        <w:t xml:space="preserve">Business Combinations </w:t>
      </w:r>
      <w:r>
        <w:rPr>
          <w:rFonts w:ascii="Times New Roman;sans-serif" w:hAnsi="Times New Roman;sans-serif"/>
          <w:b w:val="false"/>
          <w:color w:val="000000"/>
          <w:sz w:val="20"/>
        </w:rPr>
        <w:t xml:space="preserve">(“ASC 805”) by basin included in oil and gas properties on the Company’s condensed consolidated balance sheets: </w:t>
      </w:r>
    </w:p>
    <w:tbl>
      <w:tblPr>
        <w:tblW w:w="3924" w:type="dxa"/>
        <w:jc w:val="left"/>
        <w:tblInd w:w="0" w:type="dxa"/>
        <w:tblLayout w:type="fixed"/>
        <w:tblCellMar>
          <w:top w:w="28" w:type="dxa"/>
          <w:left w:w="28" w:type="dxa"/>
          <w:bottom w:w="28" w:type="dxa"/>
          <w:right w:w="28" w:type="dxa"/>
        </w:tblCellMar>
      </w:tblPr>
      <w:tblGrid>
        <w:gridCol w:w="418"/>
        <w:gridCol w:w="368"/>
        <w:gridCol w:w="370"/>
        <w:gridCol w:w="109"/>
        <w:gridCol w:w="109"/>
        <w:gridCol w:w="109"/>
        <w:gridCol w:w="219"/>
        <w:gridCol w:w="750"/>
        <w:gridCol w:w="113"/>
        <w:gridCol w:w="113"/>
        <w:gridCol w:w="113"/>
        <w:gridCol w:w="113"/>
        <w:gridCol w:w="219"/>
        <w:gridCol w:w="641"/>
        <w:gridCol w:w="160"/>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1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Appalachian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during the three months ended March 31, 2024, the Company recorded closing adjustments that reduced the acquisition price of business combinations completed during 2023 by $1.1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divested unproved properties for proceeds of $0.1 million, for which a gain on sale was recorded and included in "Other, net"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Stock Incentive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Granite Ridge Resources, Inc. 2022 Omnibus Incentive Plan (the “Plan”) provides the Company the ability to grant, among other award types, stock options, restricted stock awards, and performance stock units ("PSUs") to directors, officers, employees and consultants or advisors employed by or providing service to the Company.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2025 and 2024, the Company granted restricted stock awards, stock options, and PSUs. Stock-based compensation expense during the three months ended March 31, 2025 and 2024 was $0.7 million and $0.5 million, respectively. </w:t>
      </w:r>
    </w:p>
    <w:p>
      <w:pPr>
        <w:pStyle w:val="TextBody"/>
        <w:bidi w:val="0"/>
        <w:spacing w:lineRule="auto" w:line="288" w:before="240" w:after="283"/>
        <w:jc w:val="both"/>
        <w:rPr/>
      </w:pPr>
      <w:r>
        <w:rPr>
          <w:rFonts w:ascii="Times New Roman;sans-serif" w:hAnsi="Times New Roman;sans-serif"/>
          <w:b w:val="false"/>
          <w:i/>
          <w:color w:val="000000"/>
          <w:sz w:val="20"/>
        </w:rPr>
        <w:t>Restricted Stock Awards</w:t>
      </w:r>
      <w:r>
        <w:rPr>
          <w:color w:val="000000"/>
        </w:rPr>
        <w:t xml:space="preserve"> </w:t>
      </w:r>
      <w:r>
        <w:rPr>
          <w:rFonts w:ascii="Times New Roman;sans-serif" w:hAnsi="Times New Roman;sans-serif"/>
          <w:b w:val="false"/>
          <w:color w:val="000000"/>
          <w:sz w:val="20"/>
        </w:rPr>
        <w:t xml:space="preserve">- The Company grants service-based restricted stock awards to certain of its employees and consultants under the Plan, which vest ratably over a period of three years, and to non-employee directors, which vest in full after one year. Restricted stock awards are valued at the closing price of the Company's common stock on the date of grant. All restricted shares are legally issued and outstanding. If an employee terminates employment prior to the restriction lapse date, the awarded shares are forfeited and canceled and are no longer considered issued and outstanding. For restricted stock awards granted prior to March 2025, the holders of such unvested restricted stock awards have voting rights and the right to receive dividends. For restricted stock awards granted in March 2025 and thereafter, the holders of such unvested restricted stock awards do not have voting rights but do have the right to receive dividends. The Company recognizes compensation expense utilizing graded vesting whereby compensation expense is recognized over the service period for each separately vesting tranche. </w:t>
      </w:r>
    </w:p>
    <w:p>
      <w:pPr>
        <w:pStyle w:val="TextBody"/>
        <w:bidi w:val="0"/>
        <w:spacing w:lineRule="auto" w:line="288" w:before="240" w:after="283"/>
        <w:jc w:val="both"/>
        <w:rPr/>
      </w:pPr>
      <w:r>
        <w:rPr>
          <w:rFonts w:ascii="Times New Roman;sans-serif" w:hAnsi="Times New Roman;sans-serif"/>
          <w:b w:val="false"/>
          <w:i/>
          <w:color w:val="000000"/>
          <w:sz w:val="20"/>
        </w:rPr>
        <w:t>PSUs</w:t>
      </w:r>
      <w:r>
        <w:rPr>
          <w:color w:val="000000"/>
        </w:rPr>
        <w:t xml:space="preserve"> </w:t>
      </w:r>
      <w:r>
        <w:rPr>
          <w:rFonts w:ascii="Times New Roman;sans-serif" w:hAnsi="Times New Roman;sans-serif"/>
          <w:b w:val="false"/>
          <w:color w:val="000000"/>
          <w:sz w:val="20"/>
        </w:rPr>
        <w:t xml:space="preserve">- The Company grants PSUs to certain of its officers under the Plan. The PSUs cliff vest at the end of three years, generally subject to continued employment through the performance period. The total number of shares eligible to be earned may range from zero to 200% of the target number of PSUs granted, determined based upon achievement of certain "financial performance" and "market performance" criteria for the Company and individual performance criteria for the officers awarded PSUs. Financial performance is based on the Company's financial performance at the end of the applicable performance period, while market performance is based on the relative standing of total shareholder return achieved by the Company compared to a predetermined group of peer companies at the end of the applicable performance period. Individual performance criteria is based on the officers' performance relative to individual performance goals at the end of the performance period. The Company utilizes the Monte Carlo simulation method to determine the fair value of the PSUs based on market performance, while PSUs based on financial performance are valued using the closing price of the Company's common stock on the date of grant. </w:t>
      </w:r>
    </w:p>
    <w:p>
      <w:pPr>
        <w:pStyle w:val="TextBody"/>
        <w:bidi w:val="0"/>
        <w:spacing w:lineRule="auto" w:line="288" w:before="240" w:after="283"/>
        <w:jc w:val="both"/>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 The Company grants stock options to certain of its officers under the Plan. The Company's outstanding stock options expire 10 years following the date of grant. Pursuant to the stock options granted under the Plan, 33% of the options vest immediately with an additional 33% to vest on each of the next two anniversaries of the date of the grant, generally subject to continued employment through each such vesting date. During the three months ended March 31, 2025, the Company granted 110,257 stock options with an exercise price of $5.61 per share. During the three months ended March 31, 2024, the Company granted 134,375 stock options with an exercise price of $6.06 per share.</w:t>
      </w:r>
    </w:p>
    <w:p>
      <w:pPr>
        <w:pStyle w:val="TextBody"/>
        <w:bidi w:val="0"/>
        <w:spacing w:lineRule="auto" w:line="288" w:before="240" w:after="283"/>
        <w:jc w:val="both"/>
        <w:rPr/>
      </w:pPr>
      <w:r>
        <w:rPr>
          <w:rFonts w:ascii="Times New Roman;sans-serif" w:hAnsi="Times New Roman;sans-serif"/>
          <w:b w:val="false"/>
          <w:i/>
          <w:color w:val="000000"/>
          <w:sz w:val="20"/>
        </w:rPr>
        <w:t xml:space="preserve">Stock Awards </w:t>
      </w:r>
      <w:r>
        <w:rPr>
          <w:rFonts w:ascii="Times New Roman;sans-serif" w:hAnsi="Times New Roman;sans-serif"/>
          <w:b w:val="false"/>
          <w:color w:val="000000"/>
          <w:sz w:val="20"/>
        </w:rPr>
        <w:t xml:space="preserve">- The Company may issue other awards to its employees and consultants under the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activity under the Plan for the restricted stock awards, PSUs and stock options for the three months ended March 31, 2025 is presented below:</w:t>
      </w:r>
    </w:p>
    <w:tbl>
      <w:tblPr>
        <w:tblW w:w="10205" w:type="dxa"/>
        <w:jc w:val="left"/>
        <w:tblInd w:w="0" w:type="dxa"/>
        <w:tblLayout w:type="fixed"/>
        <w:tblCellMar>
          <w:top w:w="28" w:type="dxa"/>
          <w:left w:w="28" w:type="dxa"/>
          <w:bottom w:w="28" w:type="dxa"/>
          <w:right w:w="28" w:type="dxa"/>
        </w:tblCellMar>
      </w:tblPr>
      <w:tblGrid>
        <w:gridCol w:w="1467"/>
        <w:gridCol w:w="1288"/>
        <w:gridCol w:w="1294"/>
        <w:gridCol w:w="531"/>
        <w:gridCol w:w="1131"/>
        <w:gridCol w:w="242"/>
        <w:gridCol w:w="141"/>
        <w:gridCol w:w="141"/>
        <w:gridCol w:w="141"/>
        <w:gridCol w:w="502"/>
        <w:gridCol w:w="1220"/>
        <w:gridCol w:w="262"/>
        <w:gridCol w:w="141"/>
        <w:gridCol w:w="141"/>
        <w:gridCol w:w="141"/>
        <w:gridCol w:w="367"/>
        <w:gridCol w:w="807"/>
        <w:gridCol w:w="248"/>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42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9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42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518,048 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526,483 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(1)</w:t>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410,751 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110,257 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canceled/forfeited</w:t>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 (2)</w:t>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(253,220)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668,533 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174,182 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636,740 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Weighted average grant date fair value per share / unit</w:t>
            </w:r>
          </w:p>
        </w:tc>
        <w:tc>
          <w:tcPr>
            <w:tcW w:w="5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restricted stock and PSUs vested during the period. During the three months ended March 31, 2025, 212,249 stock options vested. As of March 31, 2025, there were a total of 518,444 stock options exercisable.</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activity under the Plan for the restricted stock awards, PSUs and stock options for the three months ended March 31, 2024 is presented below:</w:t>
      </w:r>
    </w:p>
    <w:tbl>
      <w:tblPr>
        <w:tblW w:w="10205" w:type="dxa"/>
        <w:jc w:val="left"/>
        <w:tblInd w:w="0" w:type="dxa"/>
        <w:tblLayout w:type="fixed"/>
        <w:tblCellMar>
          <w:top w:w="28" w:type="dxa"/>
          <w:left w:w="28" w:type="dxa"/>
          <w:bottom w:w="28" w:type="dxa"/>
          <w:right w:w="28" w:type="dxa"/>
        </w:tblCellMar>
      </w:tblPr>
      <w:tblGrid>
        <w:gridCol w:w="1479"/>
        <w:gridCol w:w="1299"/>
        <w:gridCol w:w="1305"/>
        <w:gridCol w:w="528"/>
        <w:gridCol w:w="1131"/>
        <w:gridCol w:w="242"/>
        <w:gridCol w:w="140"/>
        <w:gridCol w:w="140"/>
        <w:gridCol w:w="140"/>
        <w:gridCol w:w="501"/>
        <w:gridCol w:w="1217"/>
        <w:gridCol w:w="261"/>
        <w:gridCol w:w="140"/>
        <w:gridCol w:w="140"/>
        <w:gridCol w:w="140"/>
        <w:gridCol w:w="362"/>
        <w:gridCol w:w="800"/>
        <w:gridCol w:w="240"/>
      </w:tblGrid>
      <w:tr>
        <w:trPr/>
        <w:tc>
          <w:tcPr>
            <w:tcW w:w="14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295,990 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392,108 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(1)</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383,430 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134,375 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vested (2)</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(139,790)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1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539,630 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526,483 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Weighted average grant date fair value per share / unit</w:t>
            </w:r>
          </w:p>
        </w:tc>
        <w:tc>
          <w:tcPr>
            <w:tcW w:w="5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restricted stock and PSUs vested during the period. During the three months ended March 31, 2024, 175,493 stock options vested and 306,195 stock options were exercisable as of March 31,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7.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C corporation and subject to U.S. federal, state, and local income taxes. The Company records income taxes through the use of an estimated annual effective tax rate and specific events that are discretely recognized as they occur. For the three months ended March 31, 2025 and 2024, the Company recorded income tax expense of $2.9 million and $4.8 million, respectively. </w:t>
      </w:r>
    </w:p>
    <w:p>
      <w:pPr>
        <w:pStyle w:val="TextBody"/>
        <w:bidi w:val="0"/>
        <w:spacing w:lineRule="auto" w:line="288" w:before="240" w:after="283"/>
        <w:jc w:val="both"/>
        <w:rPr/>
      </w:pPr>
      <w:r>
        <w:rPr>
          <w:rFonts w:ascii="Times New Roman;sans-serif" w:hAnsi="Times New Roman;sans-serif"/>
          <w:b w:val="false"/>
          <w:color w:val="000000"/>
          <w:sz w:val="20"/>
        </w:rPr>
        <w:t>At the end of each interim period, the Company applies an estimated annualized effective tax rate to the current period income or loss before income taxes, which can produce interim effective tax rate fluctuations. The Company's effective income tax rate was 22.7% and 23.0% for the three months ended March 31, 2025 and 2024, respectively</w:t>
      </w:r>
      <w:r>
        <w:rPr>
          <w:rFonts w:ascii="Times New Roman;sans-serif" w:hAnsi="Times New Roman;sans-serif"/>
          <w:b w:val="false"/>
          <w:color w:val="000000"/>
          <w:sz w:val="20"/>
          <w:shd w:fill="FFFFFF" w:val="clear"/>
        </w:rPr>
        <w:t>. The effective tax rate differs from the enacted statutory rate of 21% primarily due to the impact of certain discrete items and state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all tax positions for which the statute of limitations remains open and believes that the material positions taken would more likely than not be sustained upon examination. Therefore, as of March 31, 2025 and December 31, 2024, the Company had no unrecognized tax benefits and did not recognize any interest or penalties during those respective periods related to unrecognized tax benefits.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(the "IRA") was enacted into law and includes significant changes related to tax, climate change, energy and health care. The provisions within the IRA, among other things, include (i) a new 15% corporate alternative minimum tax on certain large corporations, (ii) a new nondeductible 1% excise tax on the value of certain stock that a company repurchases, and (iii) various tax incentives for energy and climate initiatives. Each of these provisions were effective for tax years beginning after December 31, 2022. The Department of the Treasury is expected to continue to publish regulations relevant to many aspects of the IRA. The Company currently does not believe that there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will be a material impact on its cash taxes or income tax expense for the 2025 tax year or future periods but will continue to monitor potential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total debt was $250.0 million and $205.0 million at March 31, 2025 and December 31, 2024, respectively.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Granite Ridge Credit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Granite Ridge entered into a senior secured revolving credit agreement (as amended, the “Credit Agreement”) with a syndicate of banks, currently led by Bank of America, N.A., as administrative agent. The Credit Agreement has a maturity date of five years from the effective date thereof, or October 24, 2027.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borrowing base is redetermined semiannually on or about April 1 and October 1 of each calendar year, and is subject to additional adjustments from time to time, including for asset sales, elimination or reduction of hedge positions and incurrence of other debt. As of March 31, 2025, the Company had a borrowing base of $325.0 million and elected commitments of $325.0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had outstanding borrowings of $250.0 million and $0.3 million of letters of credit issued and outstanding under the Credit Agreement, resulting in availability of $74.7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pays a commitment fee on unused elected commitment amounts under its facility of 50 basis points. The Company may repay any amounts borrowed under the Credit Agreement prior to the maturity date without any premium or penalty.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leverage ratio, which is the ratio of Consolidated Total Debt to EBITDAX (each as defined in the Credit Agreement), of not greater than 3.00 to 1.00 as of the last day of any fiscal quarter,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Current Ratio (as defined in the Credit Agreement), of not less than 1.00 to 1.00 as of the last day of each fiscal quarter.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was in compliance with all covenants required by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Equity</w:t>
      </w:r>
    </w:p>
    <w:p>
      <w:pPr>
        <w:pStyle w:val="TextBody"/>
        <w:bidi w:val="0"/>
        <w:spacing w:lineRule="auto" w:line="288" w:before="240" w:after="283"/>
        <w:jc w:val="both"/>
        <w:rPr/>
      </w:pPr>
      <w:r>
        <w:rPr>
          <w:rFonts w:ascii="Times New Roman;sans-serif" w:hAnsi="Times New Roman;sans-serif"/>
          <w:b w:val="false"/>
          <w:i/>
          <w:color w:val="000000"/>
          <w:sz w:val="20"/>
        </w:rPr>
        <w:t>Common Stock Dividends</w:t>
      </w:r>
      <w:r>
        <w:rPr>
          <w:color w:val="000000"/>
        </w:rPr>
        <w:t xml:space="preserve"> </w:t>
      </w:r>
      <w:r>
        <w:rPr>
          <w:rFonts w:ascii="Times New Roman;sans-serif" w:hAnsi="Times New Roman;sans-serif"/>
          <w:b w:val="false"/>
          <w:color w:val="000000"/>
          <w:sz w:val="20"/>
        </w:rPr>
        <w:t>- The Company paid dividends of $14.4 million, or $0.11 per share during the three months ended March 31, 2025. The Company paid dividends of $14.3 million, or $0.11 per share, during the three months ended March 31, 2024. Any payment of future dividends will be at the discretion of the Company’s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formation in 2022, Granite Ridge entered into a Management Services Agreement (the "MSA") with Grey Rock Administration, LLC (the “Manager”). Under the MSA, the Manager provides general management, administrative, and operating services covering the oil and gas assets and other properties of the Company and other day-to-day business and affairs of the Company. In accordance with the MSA, the Company pays the Manager an annual services fee of $10.0 million and reimburses the Manager for certain Granite Ridge group costs related to the operation of the Company’s assets (including for third party costs allocated or attributable to the assets of the Company).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service fees for the Company under the MSA were approximately $2.5 million for each period and are included in general and administrative expenses within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Risk Concentrations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operations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pStyle w:val="TextBody"/>
        <w:bidi w:val="0"/>
        <w:spacing w:lineRule="auto" w:line="288" w:before="240" w:after="283"/>
        <w:jc w:val="both"/>
        <w:rPr/>
      </w:pPr>
      <w:r>
        <w:rPr>
          <w:rFonts w:ascii="Times New Roman;sans-serif" w:hAnsi="Times New Roman;sans-serif"/>
          <w:b w:val="false"/>
          <w:i/>
          <w:color w:val="000000"/>
          <w:sz w:val="20"/>
        </w:rPr>
        <w:t>Derivative Counterparties</w:t>
      </w:r>
      <w:r>
        <w:rPr>
          <w:color w:val="000000"/>
        </w:rPr>
        <w:t xml:space="preserve"> </w:t>
      </w:r>
      <w:r>
        <w:rPr>
          <w:rFonts w:ascii="Times New Roman;sans-serif" w:hAnsi="Times New Roman;sans-serif"/>
          <w:b w:val="false"/>
          <w:color w:val="000000"/>
          <w:sz w:val="20"/>
        </w:rPr>
        <w:t xml:space="preserve">- The Company uses credit and other financial criteria to evaluate the creditworthiness of counterparties to its derivative instruments. The Company believes that all of its derivative counterparties are currently acceptable credit risks. </w:t>
      </w:r>
      <w:r>
        <w:rPr>
          <w:rFonts w:ascii="Times New Roman;sans-serif" w:hAnsi="Times New Roman;sans-serif"/>
          <w:b w:val="false"/>
          <w:color w:val="000000"/>
          <w:sz w:val="20"/>
          <w:shd w:fill="FFFFFF" w:val="clear"/>
        </w:rPr>
        <w:t>All of the Company’s outstanding derivative instruments are covered by International Swap Dealers Association Master Agreements (“ISDAs”) entered into with parties that are also lenders under the Company’s Credit Agreement. The Company’s obligations under the derivative instruments are secured pursuant to the Credit Agreement, and no additional collateral has been posted by the Company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two-class method of calculating earnings per share because certain of the Company’s unvested stock-based awards qualify as participating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basic and diluted earnings per share computations for the three months ended March 31, 2025 and 2024:</w:t>
      </w:r>
    </w:p>
    <w:tbl>
      <w:tblPr>
        <w:tblW w:w="10205" w:type="dxa"/>
        <w:jc w:val="left"/>
        <w:tblInd w:w="0" w:type="dxa"/>
        <w:tblLayout w:type="fixed"/>
        <w:tblCellMar>
          <w:top w:w="28" w:type="dxa"/>
          <w:left w:w="28" w:type="dxa"/>
          <w:bottom w:w="28" w:type="dxa"/>
          <w:right w:w="28" w:type="dxa"/>
        </w:tblCellMar>
      </w:tblPr>
      <w:tblGrid>
        <w:gridCol w:w="2046"/>
        <w:gridCol w:w="1801"/>
        <w:gridCol w:w="1821"/>
        <w:gridCol w:w="390"/>
        <w:gridCol w:w="1142"/>
        <w:gridCol w:w="201"/>
        <w:gridCol w:w="201"/>
        <w:gridCol w:w="201"/>
        <w:gridCol w:w="201"/>
        <w:gridCol w:w="390"/>
        <w:gridCol w:w="1338"/>
        <w:gridCol w:w="201"/>
        <w:gridCol w:w="109"/>
        <w:gridCol w:w="163"/>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72" w:type="dxa"/>
            <w:gridSpan w:val="2"/>
            <w:tcBorders/>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basic earnings (a)</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attributable to common stockholders</w:t>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participating earnings</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attributable to common stockholders</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performance stock units</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stock options</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2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2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33"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is a summary of the PSUs and stock options, which were not included in the computation of diluted earnings per share, as inclusion of these items would be antidilutive. </w:t>
      </w:r>
    </w:p>
    <w:tbl>
      <w:tblPr>
        <w:tblW w:w="6600" w:type="dxa"/>
        <w:jc w:val="left"/>
        <w:tblInd w:w="0" w:type="dxa"/>
        <w:tblLayout w:type="fixed"/>
        <w:tblCellMar>
          <w:top w:w="28" w:type="dxa"/>
          <w:left w:w="28" w:type="dxa"/>
          <w:bottom w:w="28" w:type="dxa"/>
          <w:right w:w="28" w:type="dxa"/>
        </w:tblCellMar>
      </w:tblPr>
      <w:tblGrid>
        <w:gridCol w:w="1204"/>
        <w:gridCol w:w="1060"/>
        <w:gridCol w:w="1066"/>
        <w:gridCol w:w="573"/>
        <w:gridCol w:w="266"/>
        <w:gridCol w:w="266"/>
        <w:gridCol w:w="266"/>
        <w:gridCol w:w="266"/>
        <w:gridCol w:w="266"/>
        <w:gridCol w:w="572"/>
        <w:gridCol w:w="266"/>
        <w:gridCol w:w="266"/>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antidilutive common shares: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performance stock units</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553,240 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423,538 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common shares</w:t>
            </w:r>
          </w:p>
        </w:tc>
        <w:tc>
          <w:tcPr>
            <w:tcW w:w="8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655,605 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473,251 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declared a regular quarterly cash dividend of $0.11 per share for the second quarter of 2025. The dividend will be paid on June 13, 2025 to stockholders of record as of May 30, 2025.</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Fifth Amendment to Credit Agreement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2025, the Company and its lenders entered into the Fifth Amendment to the Credit Agreement, which amended the Credit Agreement to, among other things, increase the borrowing base and aggregate elected commitments from $325.0 million to $375.0 million.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foregoing, the material terms of the Credit Agreement remain unchanged.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GRANITE RIDGE RESOURCES,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240" w:after="283"/>
        <w:jc w:val="both"/>
        <w:rPr/>
      </w:pPr>
      <w:r>
        <w:rPr>
          <w:rFonts w:ascii="Times New Roman;sans-serif" w:hAnsi="Times New Roman;sans-serif"/>
          <w:b w:val="false"/>
          <w:i/>
          <w:color w:val="000000"/>
          <w:sz w:val="20"/>
        </w:rPr>
        <w:t>New Commodity Derivative Contracts</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2025, the Company entered into the following natural gas derivative contracts to hedge additional amounts of estimated future production. </w:t>
      </w:r>
    </w:p>
    <w:tbl>
      <w:tblPr>
        <w:tblW w:w="10205" w:type="dxa"/>
        <w:jc w:val="left"/>
        <w:tblInd w:w="0" w:type="dxa"/>
        <w:tblLayout w:type="fixed"/>
        <w:tblCellMar>
          <w:top w:w="28" w:type="dxa"/>
          <w:left w:w="28" w:type="dxa"/>
          <w:bottom w:w="28" w:type="dxa"/>
          <w:right w:w="28" w:type="dxa"/>
        </w:tblCellMar>
      </w:tblPr>
      <w:tblGrid>
        <w:gridCol w:w="987"/>
        <w:gridCol w:w="866"/>
        <w:gridCol w:w="826"/>
        <w:gridCol w:w="109"/>
        <w:gridCol w:w="109"/>
        <w:gridCol w:w="109"/>
        <w:gridCol w:w="109"/>
        <w:gridCol w:w="317"/>
        <w:gridCol w:w="769"/>
        <w:gridCol w:w="163"/>
        <w:gridCol w:w="109"/>
        <w:gridCol w:w="109"/>
        <w:gridCol w:w="109"/>
        <w:gridCol w:w="294"/>
        <w:gridCol w:w="713"/>
        <w:gridCol w:w="151"/>
        <w:gridCol w:w="109"/>
        <w:gridCol w:w="109"/>
        <w:gridCol w:w="109"/>
        <w:gridCol w:w="313"/>
        <w:gridCol w:w="761"/>
        <w:gridCol w:w="162"/>
        <w:gridCol w:w="109"/>
        <w:gridCol w:w="109"/>
        <w:gridCol w:w="109"/>
        <w:gridCol w:w="236"/>
        <w:gridCol w:w="572"/>
        <w:gridCol w:w="123"/>
        <w:gridCol w:w="109"/>
        <w:gridCol w:w="109"/>
        <w:gridCol w:w="109"/>
        <w:gridCol w:w="211"/>
        <w:gridCol w:w="511"/>
        <w:gridCol w:w="109"/>
        <w:gridCol w:w="109"/>
        <w:gridCol w:w="109"/>
        <w:gridCol w:w="159"/>
      </w:tblGrid>
      <w:tr>
        <w:trPr/>
        <w:tc>
          <w:tcPr>
            <w:tcW w:w="98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Collars (natural gas)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floor price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ceiling price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Swaps (natural gas)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710,000</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price ($/Mcf)</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Supplementary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Capitalized Costs</w:t>
      </w:r>
    </w:p>
    <w:tbl>
      <w:tblPr>
        <w:tblW w:w="7637" w:type="dxa"/>
        <w:jc w:val="left"/>
        <w:tblInd w:w="0" w:type="dxa"/>
        <w:tblLayout w:type="fixed"/>
        <w:tblCellMar>
          <w:top w:w="28" w:type="dxa"/>
          <w:left w:w="28" w:type="dxa"/>
          <w:bottom w:w="28" w:type="dxa"/>
          <w:right w:w="28" w:type="dxa"/>
        </w:tblCellMar>
      </w:tblPr>
      <w:tblGrid>
        <w:gridCol w:w="1618"/>
        <w:gridCol w:w="1423"/>
        <w:gridCol w:w="1428"/>
        <w:gridCol w:w="211"/>
        <w:gridCol w:w="976"/>
        <w:gridCol w:w="109"/>
        <w:gridCol w:w="109"/>
        <w:gridCol w:w="109"/>
        <w:gridCol w:w="109"/>
        <w:gridCol w:w="243"/>
        <w:gridCol w:w="1125"/>
        <w:gridCol w:w="177"/>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Oil and natural gas properties: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1,484,968 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depletion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capitalized costs for oil and natural gas properties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896,970 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Incurred for Oil and Natural Gas Producing Activities</w:t>
      </w:r>
    </w:p>
    <w:tbl>
      <w:tblPr>
        <w:tblW w:w="7738" w:type="dxa"/>
        <w:jc w:val="left"/>
        <w:tblInd w:w="0" w:type="dxa"/>
        <w:tblLayout w:type="fixed"/>
        <w:tblCellMar>
          <w:top w:w="28" w:type="dxa"/>
          <w:left w:w="28" w:type="dxa"/>
          <w:bottom w:w="28" w:type="dxa"/>
          <w:right w:w="28" w:type="dxa"/>
        </w:tblCellMar>
      </w:tblPr>
      <w:tblGrid>
        <w:gridCol w:w="1591"/>
        <w:gridCol w:w="1400"/>
        <w:gridCol w:w="1404"/>
        <w:gridCol w:w="427"/>
        <w:gridCol w:w="390"/>
        <w:gridCol w:w="391"/>
        <w:gridCol w:w="220"/>
        <w:gridCol w:w="220"/>
        <w:gridCol w:w="220"/>
        <w:gridCol w:w="427"/>
        <w:gridCol w:w="337"/>
        <w:gridCol w:w="339"/>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13,341</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21,021</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71,402</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 for oil and natural gas properties</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105,764</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Conditions and Results of Operations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on Form 10-Q. </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 xml:space="preserve">The following discussion contains </w:t>
      </w:r>
      <w:r>
        <w:rPr>
          <w:color w:val="000000"/>
        </w:rPr>
        <w:t>“</w:t>
      </w:r>
      <w:r>
        <w:rPr>
          <w:rFonts w:ascii="Times New Roman;sans-serif" w:hAnsi="Times New Roman;sans-serif"/>
          <w:b w:val="false"/>
          <w:i/>
          <w:color w:val="000000"/>
          <w:sz w:val="20"/>
        </w:rPr>
        <w:t>forward</w:t>
      </w:r>
      <w:r>
        <w:rPr>
          <w:color w:val="000000"/>
        </w:rPr>
        <w:noBreakHyphen/>
      </w:r>
      <w:r>
        <w:rPr>
          <w:rFonts w:ascii="Times New Roman;sans-serif" w:hAnsi="Times New Roman;sans-serif"/>
          <w:b w:val="false"/>
          <w:i/>
          <w:color w:val="000000"/>
          <w:sz w:val="20"/>
        </w:rPr>
        <w:t>looking statements</w:t>
      </w:r>
      <w:r>
        <w:rPr>
          <w:color w:val="000000"/>
        </w:rPr>
        <w:t xml:space="preserve">” </w:t>
      </w:r>
      <w:r>
        <w:rPr>
          <w:rFonts w:ascii="Times New Roman;sans-serif" w:hAnsi="Times New Roman;sans-serif"/>
          <w:b w:val="false"/>
          <w:i/>
          <w:color w:val="000000"/>
          <w:sz w:val="20"/>
        </w:rPr>
        <w:t>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color w:val="000000"/>
        </w:rPr>
        <w:noBreakHyphen/>
      </w:r>
      <w:r>
        <w:rPr>
          <w:rFonts w:ascii="Times New Roman;sans-serif" w:hAnsi="Times New Roman;sans-serif"/>
          <w:b w:val="false"/>
          <w:i/>
          <w:color w:val="000000"/>
          <w:sz w:val="20"/>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noBreakHyphen/>
        <w:t>Looking Statements.” Also, please read the risk factors and other cautionary statements described under “Part I, Item 1A. Risk Factors” in our Annual Report on Form 10-K for the year ended December 31, 2024 (the "2024 Form 10-K") and elsewhere in this Report. We assume no obligation to update any of these forward</w:t>
        <w:noBreakHyphen/>
        <w:t>looking statements,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Granite Ridge is a scaled energy company which aims to provide shareholders with exposure similar to energy private equity through operated partnerships and traditional non-operated assets. We own assets in six prolific unconventional basins across the United States. We aim to deliver a diversified portfolio with best-in-class full cycle returns by investing in a large number of high-graded opportunities developed by proven public and private operators. We focus on success as measured by total shareholder returns, which we seek to balance with a low leverage profile.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Selected Factors That Affect Our Operating Results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cash flows from operations and future growth depend substantially upon: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timing and success of drilling and production activities by our operating partners;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prices and the supply and demand for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quantity of oil and natural gas production from the wells in which we participate;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changes in the fair value of the derivative instruments we use to reduce our exposure to fluctuations in the price of oil and natural gas;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our ability to continue to identify and acquire high-quality acreage and drilling opportunities;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231F20"/>
          <w:sz w:val="20"/>
        </w:rPr>
        <w:t>the level of our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factors that affect companies in our industry generally, the location of substantially all of our acreage in the Eagle Ford, Permian, Bakken, Haynesville, Denver-Julesburg, and Appalachian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oil and natural gas can vary depending on the market in which it is sold and the means of transportation used to transport the oil and natural gas to market.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price differential to the NYMEX benchmark price during the three months ended March 31, 2025 and 2024 was a discount of $(2.60) per barrel and a premium of $0.67 per barrel, respectively. Our natural gas price differential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average NYMEX price during the three months ended March 31, 2025 and 2024 was a discount of $(0.17) per Mcf and $(0.31) per Mcf,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Conditions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commodity prices have been volatile, and we expect that volatility to continue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various quantities of natural gas and oil that we produce significantly impact our revenues and cash flows. The following table lists average NYMEX spot prices for oil and natural gas for the three months ended March 31, 2025 and 2024.</w:t>
      </w:r>
    </w:p>
    <w:tbl>
      <w:tblPr>
        <w:tblW w:w="5477" w:type="dxa"/>
        <w:jc w:val="left"/>
        <w:tblInd w:w="0" w:type="dxa"/>
        <w:tblLayout w:type="fixed"/>
        <w:tblCellMar>
          <w:top w:w="28" w:type="dxa"/>
          <w:left w:w="28" w:type="dxa"/>
          <w:bottom w:w="28" w:type="dxa"/>
          <w:right w:w="28" w:type="dxa"/>
        </w:tblCellMar>
      </w:tblPr>
      <w:tblGrid>
        <w:gridCol w:w="847"/>
        <w:gridCol w:w="745"/>
        <w:gridCol w:w="748"/>
        <w:gridCol w:w="427"/>
        <w:gridCol w:w="285"/>
        <w:gridCol w:w="286"/>
        <w:gridCol w:w="220"/>
        <w:gridCol w:w="220"/>
        <w:gridCol w:w="220"/>
        <w:gridCol w:w="427"/>
        <w:gridCol w:w="285"/>
        <w:gridCol w:w="286"/>
        <w:gridCol w:w="109"/>
        <w:gridCol w:w="109"/>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NYMEX Prices (1)</w:t>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4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66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6"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(1)Based on average NYMEX spot prices.</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the average NYMEX oil pricing was $71.78 per barrel of oil, or 7% lower than the average NYMEX price per barrel for the three months ended March 31, 2024. Our settled derivatives decreased our realized oil price per barrel by $0.05 for the three months ended March 31, 2025 and increased our realized oil price per barrel by $0.10 for the three months ended March 31, 2024. For the three months ended March 31, 2025, our average realized oil price per barrel after reflecting settled derivatives was $69.13 compared to $78.27 for the three months ended March 31, 2024.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average NYMEX natural gas pricing was $4.14 per Mcf, or 93% higher than the average NYMEX price per Mcf for the three months ended March 31, 2024. Our settled derivatives decreased our realized natural gas price per Mcf by $0.01 for the three months ended March 31, 2025 and increased our realized natural gas price per Mcf by $0.36 for the three months ended March 31, 2024. For the three months ended March 31, 2025, our average realized natural gas price per Mcf after reflecting settled derivatives was $3.96 compared to $2.20 for the three months ended March 31, 2024.</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summary production and operating data for the periods indicated. Because of normal production declines, increased or decreased drilling activities, fluctuations in commodity prices and the effects of acquisitions and divestitures, the historical information presented below should not be interpreted as being indicative of future results.</w:t>
      </w:r>
    </w:p>
    <w:tbl>
      <w:tblPr>
        <w:tblW w:w="10205" w:type="dxa"/>
        <w:jc w:val="left"/>
        <w:tblInd w:w="0" w:type="dxa"/>
        <w:tblLayout w:type="fixed"/>
        <w:tblCellMar>
          <w:top w:w="28" w:type="dxa"/>
          <w:left w:w="28" w:type="dxa"/>
          <w:bottom w:w="28" w:type="dxa"/>
          <w:right w:w="28" w:type="dxa"/>
        </w:tblCellMar>
      </w:tblPr>
      <w:tblGrid>
        <w:gridCol w:w="2315"/>
        <w:gridCol w:w="1860"/>
        <w:gridCol w:w="1866"/>
        <w:gridCol w:w="358"/>
        <w:gridCol w:w="1183"/>
        <w:gridCol w:w="199"/>
        <w:gridCol w:w="199"/>
        <w:gridCol w:w="199"/>
        <w:gridCol w:w="199"/>
        <w:gridCol w:w="358"/>
        <w:gridCol w:w="1183"/>
        <w:gridCol w:w="286"/>
      </w:tblGrid>
      <w:tr>
        <w:trPr/>
        <w:tc>
          <w:tcPr>
            <w:tcW w:w="231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Sales (in thousands):</w:t>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sales</w:t>
            </w:r>
          </w:p>
        </w:tc>
        <w:tc>
          <w:tcPr>
            <w:tcW w:w="3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and related product sales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31,084 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122,931 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88,996 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Production:</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(1)</w:t>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Daily Production:</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16"/>
              </w:rPr>
              <w:t>Total (Boe)</w:t>
            </w:r>
            <w:r>
              <w:rPr>
                <w:rFonts w:ascii="Times New Roman;sans-serif" w:hAnsi="Times New Roman;sans-serif"/>
                <w:b w:val="false"/>
                <w:color w:val="000000"/>
                <w:sz w:val="10"/>
              </w:rPr>
              <w:t>(1)</w:t>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Average Sales Prices:</w:t>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3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on settled oil derivatives on average price (per Bbl)</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6"/>
              </w:rPr>
              <w:t>Oil net of settled oil derivatives (per Bbl)</w:t>
            </w:r>
            <w:r>
              <w:rPr>
                <w:rFonts w:ascii="Times New Roman;sans-serif" w:hAnsi="Times New Roman;sans-serif"/>
                <w:b w:val="false"/>
                <w:color w:val="000000"/>
                <w:sz w:val="10"/>
              </w:rPr>
              <w:t>(2)</w:t>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sales (per Mcf)</w:t>
            </w:r>
          </w:p>
        </w:tc>
        <w:tc>
          <w:tcPr>
            <w:tcW w:w="3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on settled natural gas derivatives on average price (per Mcf)</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6"/>
              </w:rPr>
              <w:t>Natural gas sales net of settled natural gas derivatives (per Mcf)</w:t>
            </w:r>
            <w:r>
              <w:rPr>
                <w:rFonts w:ascii="Times New Roman;sans-serif" w:hAnsi="Times New Roman;sans-serif"/>
                <w:b w:val="false"/>
                <w:color w:val="000000"/>
                <w:sz w:val="10"/>
              </w:rPr>
              <w:t>(2)</w:t>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price on a Boe basis excluding settled commodity derivatives</w:t>
            </w:r>
          </w:p>
        </w:tc>
        <w:tc>
          <w:tcPr>
            <w:tcW w:w="3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gain on settled commodity derivatives on average price (per Boe)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6"/>
              </w:rPr>
              <w:t>Realized price on a Boe basis including settled commodity derivatives</w:t>
            </w:r>
            <w:r>
              <w:rPr>
                <w:rFonts w:ascii="Times New Roman;sans-serif" w:hAnsi="Times New Roman;sans-serif"/>
                <w:b w:val="false"/>
                <w:color w:val="000000"/>
                <w:sz w:val="10"/>
              </w:rPr>
              <w:t>(2)</w:t>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 (in thousands):</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 expense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 (per Boe):</w:t>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and ad valorem taxes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and accretion</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Producing Wells at Period-End:</w:t>
            </w:r>
          </w:p>
        </w:tc>
        <w:tc>
          <w:tcPr>
            <w:tcW w:w="15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211.63 </w:t>
            </w:r>
          </w:p>
        </w:tc>
        <w:tc>
          <w:tcPr>
            <w:tcW w:w="1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181.34 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(1)Natural gas is converted to Boe using the ratio of one barrel of oil to six Mcf of natural gas.</w:t>
            </w:r>
          </w:p>
          <w:p>
            <w:pPr>
              <w:pStyle w:val="TableContents"/>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presentation of realized prices including settled commodity derivatives is a result of including the net cash receipts from (payments on) commodity derivatives that are presented in the footnotes to our condensed consolidated financial statements.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Oil, Natural Gas and Related Product Sales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vary from year to year primarily due to changes in realized commodity prices and production volumes. Our oil and natural gas sales for the three months ended March 31, 2025 increased 38% from the same period in 2024. Oil revenues for the three months ended March 31, 2025 increased by 21% compared to the same period in 2024, driven by a 37% increase in production, partially offset by an 11.5% decrease in realized prices, excluding the effect of settled derivatives. Natural gas revenues increased by 135% for the three months ended March 31, 2025 compared to the same period in 2024, driven by a 116% increase in realized natural gas prices, excluding the effect of settled commodity derivatives, and a 9% increase in production.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from oil and gas properties increased as a result of drilling success and the acquisition of additional net revenue interests. The number of wells we participated in during the period increased from 181.34 net wells on March 31, 2024 to 211.63 net wells on March 31, 2025.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 Operating Expenses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were $16.2 million ($6.17 per Boe) for the three months ended March 31, 2025, an increase of 5% from $15.5 million ($7.13 per Boe) during the same period in 2024. The increase was primarily due to an increase in well count due to acquisitions and additional wells successfully drilled and completed. The decrease in lease operating expenses per Boe was primarily due to the increase in production.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pay production taxes based on realized oil and natural gas sales. Production taxes were $6.6 million ($2.49 per Boe) for the three months ended March 31, 2025 compared to $4.3 million ($1.98 per Boe) during the same period in 2024. As a percentage of oil and natural gas sales, our production taxes were 5% and 5% during the three months ended March 31, 2025 and 2024,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taxes fluctuate with the market value of our production sold, while ad valorem taxes are generally based on the valuation of our oil and natural gas properties at the beginning of the year, which vary across the different areas in which we operate.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increased by $0.3 million during the three months ended March 31, 2025 as compared to the same period in 2024, primarily due to additional wells drilled and completed and new wells acquired.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Depletion and Accretion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Depletion and accretion was $48.4 million ($18.41 per Boe) for the three months ended March 31, 2025, an increase of 18% from $40.9 million ($18.87 per Boe) during the same period in 2024. The increase in depletion and accretion expense was primarily due to the increase in depletion expense resulting from an increase in production between the two periods.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of Unproved Properties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we recognized impairment expense of $0.7 million on unproved properties in the Permian Basin as a result of a change in the operator's drilling plans.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components of our general and administrative expenses for the three months ended March 31, 2025 and 2024:</w:t>
      </w:r>
    </w:p>
    <w:tbl>
      <w:tblPr>
        <w:tblW w:w="6371" w:type="dxa"/>
        <w:jc w:val="left"/>
        <w:tblInd w:w="0" w:type="dxa"/>
        <w:tblLayout w:type="fixed"/>
        <w:tblCellMar>
          <w:top w:w="28" w:type="dxa"/>
          <w:left w:w="28" w:type="dxa"/>
          <w:bottom w:w="28" w:type="dxa"/>
          <w:right w:w="28" w:type="dxa"/>
        </w:tblCellMar>
      </w:tblPr>
      <w:tblGrid>
        <w:gridCol w:w="1281"/>
        <w:gridCol w:w="1127"/>
        <w:gridCol w:w="1132"/>
        <w:gridCol w:w="226"/>
        <w:gridCol w:w="659"/>
        <w:gridCol w:w="116"/>
        <w:gridCol w:w="116"/>
        <w:gridCol w:w="116"/>
        <w:gridCol w:w="116"/>
        <w:gridCol w:w="226"/>
        <w:gridCol w:w="659"/>
        <w:gridCol w:w="116"/>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 were $7.5 million ($2.84 per Boe) for the three months ended March 31, 2025, an increase of 15% from $6.5 million ($2.99 per Boe) during the same period in 2024. The increase was primarily due to increased professional and legal service expenses during the three months ended March 31, 2025 as compared to the same period of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Gain/(Loss) on Derivatives – Commodity Derivatives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gain (loss) on derivatives for the three months ended March 31, 2025, and 2024:</w:t>
      </w:r>
    </w:p>
    <w:tbl>
      <w:tblPr>
        <w:tblW w:w="5664" w:type="dxa"/>
        <w:jc w:val="left"/>
        <w:tblInd w:w="0" w:type="dxa"/>
        <w:tblLayout w:type="fixed"/>
        <w:tblCellMar>
          <w:top w:w="28" w:type="dxa"/>
          <w:left w:w="28" w:type="dxa"/>
          <w:bottom w:w="28" w:type="dxa"/>
          <w:right w:w="28" w:type="dxa"/>
        </w:tblCellMar>
      </w:tblPr>
      <w:tblGrid>
        <w:gridCol w:w="1146"/>
        <w:gridCol w:w="1008"/>
        <w:gridCol w:w="1011"/>
        <w:gridCol w:w="211"/>
        <w:gridCol w:w="796"/>
        <w:gridCol w:w="109"/>
        <w:gridCol w:w="109"/>
        <w:gridCol w:w="109"/>
        <w:gridCol w:w="109"/>
        <w:gridCol w:w="211"/>
        <w:gridCol w:w="69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commodity derivatives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net cash receipts from (payments on) derivatives for the three months ended March 31, 2025, and 2024:</w:t>
      </w:r>
    </w:p>
    <w:tbl>
      <w:tblPr>
        <w:tblW w:w="7463" w:type="dxa"/>
        <w:jc w:val="left"/>
        <w:tblInd w:w="0" w:type="dxa"/>
        <w:tblLayout w:type="fixed"/>
        <w:tblCellMar>
          <w:top w:w="28" w:type="dxa"/>
          <w:left w:w="28" w:type="dxa"/>
          <w:bottom w:w="28" w:type="dxa"/>
          <w:right w:w="28" w:type="dxa"/>
        </w:tblCellMar>
      </w:tblPr>
      <w:tblGrid>
        <w:gridCol w:w="1819"/>
        <w:gridCol w:w="1600"/>
        <w:gridCol w:w="1605"/>
        <w:gridCol w:w="237"/>
        <w:gridCol w:w="610"/>
        <w:gridCol w:w="122"/>
        <w:gridCol w:w="122"/>
        <w:gridCol w:w="122"/>
        <w:gridCol w:w="122"/>
        <w:gridCol w:w="237"/>
        <w:gridCol w:w="694"/>
        <w:gridCol w:w="173"/>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from (payments on) commodity derivatives</w:t>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derivatives</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$5.0 million for the three months ended March 31, 2025 compared to $3.2 million for the three months ended March 31, 2024. The increase in interest expense during the three months ended March 31, 2025 as compared to 2024 was primarily due to an increase in the average outstanding balance on the Credit Agreement during 2025.</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Gain/(Loss) on Equity Investments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We recorded a loss o</w:t>
      </w:r>
      <w:r>
        <w:rPr>
          <w:rFonts w:ascii="Times New Roman;sans-serif" w:hAnsi="Times New Roman;sans-serif"/>
          <w:b w:val="false"/>
          <w:color w:val="000000"/>
          <w:sz w:val="20"/>
          <w:shd w:fill="FFFFFF" w:val="clear"/>
        </w:rPr>
        <w:t>f $10.0 million</w:t>
      </w:r>
      <w:r>
        <w:rPr>
          <w:color w:val="000000"/>
        </w:rPr>
        <w:t xml:space="preserve"> </w:t>
      </w:r>
      <w:r>
        <w:rPr>
          <w:rFonts w:ascii="Times New Roman;sans-serif" w:hAnsi="Times New Roman;sans-serif"/>
          <w:b w:val="false"/>
          <w:color w:val="000000"/>
          <w:sz w:val="20"/>
        </w:rPr>
        <w:t xml:space="preserve">for the three months ended March 31, 2025 compared to a gain of $7.8 million for the three months ended March 31, 2024 resulting from the change in fair value of the common and preferred stock of Vital Energy.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We recorded income tax expense of</w:t>
      </w:r>
      <w:r>
        <w:rPr>
          <w:color w:val="000000"/>
        </w:rPr>
        <w:t xml:space="preserve"> </w:t>
      </w:r>
      <w:r>
        <w:rPr>
          <w:rFonts w:ascii="Times New Roman;sans-serif" w:hAnsi="Times New Roman;sans-serif"/>
          <w:b w:val="false"/>
          <w:color w:val="000000"/>
          <w:sz w:val="20"/>
        </w:rPr>
        <w:t xml:space="preserve">$2.9 million </w:t>
      </w:r>
      <w:r>
        <w:rPr>
          <w:rFonts w:ascii="Times New Roman;sans-serif" w:hAnsi="Times New Roman;sans-serif"/>
          <w:b w:val="false"/>
          <w:color w:val="000000"/>
          <w:sz w:val="20"/>
          <w:shd w:fill="FFFFFF" w:val="clear"/>
        </w:rPr>
        <w:t xml:space="preserve">for the three 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compared to $4.8 million for the three months ended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effective income tax rate differs from the statutory rate primarily due to the impact of certain discrete items and state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main sources of liquidity and capital resources as of the periods covered by this Report have been internally generated cash flow from operations and credit facility borrowings. Our primary use of capital has been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and acquisition of oil and natural gas properties. We continually monitor potential capital sources for opportunities to enhance liquidity or otherwise improve our financial position.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$250.0 million of debt outstanding under our Credit Agreement. We had $90.8 million of liquidity as of March 31, 2025, consisting of $74.7 million of committed borrowing availability under the Credit Agreement and $16.1 million of cash on hand.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2025, the Company and its lenders entered into the Fifth Amendment to the Credit Agreement, which amended the Credit Agreement to, among other things, increase the borrowing base and aggregate elected commitments from $325.0 million to $375.0 million.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our cash on hand, cash flow from operations,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Dividends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paid dividends of $14.4 million, or $0.11 per share, and $14.3 million, or $0.11 per share, during the first quarter of 2025 and 2024, respectively. Any payment of future dividends will be at the discretion of the Company’s Board of Directors.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changes in cash and restricted cash for the three months ended March 31, 2025 and 2024:</w:t>
      </w:r>
    </w:p>
    <w:tbl>
      <w:tblPr>
        <w:tblW w:w="5919" w:type="dxa"/>
        <w:jc w:val="left"/>
        <w:tblInd w:w="0" w:type="dxa"/>
        <w:tblLayout w:type="fixed"/>
        <w:tblCellMar>
          <w:top w:w="28" w:type="dxa"/>
          <w:left w:w="28" w:type="dxa"/>
          <w:bottom w:w="28" w:type="dxa"/>
          <w:right w:w="28" w:type="dxa"/>
        </w:tblCellMar>
      </w:tblPr>
      <w:tblGrid>
        <w:gridCol w:w="1255"/>
        <w:gridCol w:w="1103"/>
        <w:gridCol w:w="1107"/>
        <w:gridCol w:w="211"/>
        <w:gridCol w:w="721"/>
        <w:gridCol w:w="109"/>
        <w:gridCol w:w="109"/>
        <w:gridCol w:w="109"/>
        <w:gridCol w:w="109"/>
        <w:gridCol w:w="211"/>
        <w:gridCol w:w="72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$7.4 million increase in operating cash flows during the three months ended March 31, 2025 as compared to the same period in 2024 was primarily due to the increase in oil and natural gas sales during the three months ended March 31, 2025 as compared to the same period in 2024.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provided by operating activities included a reduction of $10.6 million and a benefit of $7.1 million for the three months ended March 31, 2025 and 2024, respectively, associated with changes in working capital items. Changes in working capital items adjust for the timing of receipts and payments of actual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our net cash used in investing activities was $100.0 million, which consisted primarily of $66.7 million of capital expenditures for oil and natural gas properties and $34.7 million of acquisitions of oil and natural gas properties.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our net cash used in investing activities was $71.0 million, which consisted primarily of $69.7 million of capital expenditures for oil and natural gas properties and $2.6 million of acquisitions of oil and natural gas properties.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our net cash provided by financing activities was $30.6 million, primarily due to $45.0 million of borrowings under our Credit Agreement, partially offset by $14.4 million of dividends paid on our common stock.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our net cash provided by financing activities was $12.7 million, primarily due to $27.5 million of borrowings under our Credit Agreement, partially offset by $14.3 million of dividends paid on our common stock and $0.4 million of common stock repurchases.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Granite Ridge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had outstanding borrowings of $250.0 million and $0.3 million of letters of credit issued and outstanding under the Credit Agreement, resulting in availability of $74.7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2022, Granite Ridge entered into a senior secured revolving credit agreement with a syndicate of banks, currently led by Bank of America, N.A., as administrative agent. The Credit Agreement has a maturity date of five years from the effective date thereof, or October 24, 2027.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borrowing base is redetermined semiannually on or about April 1 and October 1 of each calendar year, and is subject to additional adjustments from time to time, including for asset sales, elimination or reduction of hedge positions and incurrence of other debt. As of March 31, 2025, the Company had a borrowing base of $325.0 million and elected commitments of $325.0 million.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2025, the Company and its lenders entered into the Fifth Amendment to the Credit Agreement, which amended the Credit Agreement to, among other things, increase the borrowing base and aggregate elected commitments from $325.0 million to $375.0 million.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pays a commitment fee on unused elected commitment amounts under its facility of 50 basis points. The Company may repay any amounts borrowed under the Credit Agreement prior to the maturity date without any premium or penalty.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leverage ratio, which is the ratio of Consolidated Total Debt to EBITDAX (each as defined in the Credit Agreement), of not greater than 3.00 to 1.00 as of the last day of any fiscal quarter, and </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 Current Ratio (as defined in the Credit Agreement), of not less than 1.00 to 1.00 as of the last day of each fiscal quarter.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additional restrictive covenants that limit our ability and our restricted subsidiaries to, among other things, incur additional indebtedness, incur additional liens, enter into mergers and acquisitions, make or declare dividends, repurchase or redeem junior debt, make investments and loans, engage in transactions with affiliates, sell assets and enter into certain hedging transactions. In addition, the Credit Agreement is subject to customary events of default, including a change in control. If an event of default occurs and is continuing, the administrative agent may, with the consent of majority lenders, or shall, at the direction of the majority lenders, accelerate any amounts outstanding and terminate lender commitments.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we were in compliance with all covenants required by the Credit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Known Contractual and Other Obligations; Planned Capital Expenditures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and Other Obligations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contractual obligations include long-term debt, cash interest expense on debt, derivative liabilities, asset retirement obligations and an annual service fee to the Manager. Since December 31, 2024, there have been no material changes in our contractual obligations, other than the $45.0 million increase in long-term debt due to borrowings under the Credit Agreement.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Planned Capital Expenditures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2025, we are budgeting approximately $300 million to $320 million in total planned capital expenditures. Our costs incurred on oil and natural gas properties, excluding acquisitions, during the three months ended March 31, 2025 and 2024 totaled $71.4 million and $62.6 million, respectively. Our capital expenditures for the three months ended March 31, 2025 were primarily funded with cash flows from operations and borrowings under the Credit Agreement. We expect to fund planned capital expenditures with cash generated from operations and, if required, borrowings under our Credit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expenditures for acquisitions of proved and unproved properties for the three months ended March 31, 2025 and 2024:</w:t>
      </w:r>
    </w:p>
    <w:tbl>
      <w:tblPr>
        <w:tblW w:w="5723" w:type="dxa"/>
        <w:jc w:val="left"/>
        <w:tblInd w:w="0" w:type="dxa"/>
        <w:tblLayout w:type="fixed"/>
        <w:tblCellMar>
          <w:top w:w="28" w:type="dxa"/>
          <w:left w:w="28" w:type="dxa"/>
          <w:bottom w:w="28" w:type="dxa"/>
          <w:right w:w="28" w:type="dxa"/>
        </w:tblCellMar>
      </w:tblPr>
      <w:tblGrid>
        <w:gridCol w:w="977"/>
        <w:gridCol w:w="860"/>
        <w:gridCol w:w="862"/>
        <w:gridCol w:w="427"/>
        <w:gridCol w:w="338"/>
        <w:gridCol w:w="338"/>
        <w:gridCol w:w="220"/>
        <w:gridCol w:w="220"/>
        <w:gridCol w:w="220"/>
        <w:gridCol w:w="427"/>
        <w:gridCol w:w="285"/>
        <w:gridCol w:w="286"/>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13,341</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21,021</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acquisition costs</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34,362</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Satisfaction of Our Cash Obligations for the Next Twelve Months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Effects of Inflation and Pricing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typically very cyclical and the demand for goods and services of oilfield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a significant adverse impact to the financial condition, results of operations and cash flows of the Company.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 more significant reporting areas impacted by management’s judgments and estimates are the choice of accounting method for oil and natural gas activities, oil and natural gas reserve estimation, revenue recognition, impairment of long-lived assets and valuation of financial derivatives.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and procedures during the three months ended March 31, 2025. See our disclosure of critical accounting policies in “Item 7. Management’s Discussion and Analysis of Financial Condition and Results of Operations” and “Item 8. Financial Statements and Supplementary Data” of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or Adopted Accounting Pronouncements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discussion of recent accounting pronouncements, see Note 2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Disclosures about Market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Commodity Price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For the three months ended March 31, 2025, a 10% increase in average commodity prices would have decreased the fair value of commodity derivatives by $29.1 million. We may incur significant unrealized losses in the future from our use of derivative financial instruments to the extent market prices increase and our derivatives contracts remain in place.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our exposure to interest rate changes related primarily to the borrowings under the Credit Agreement. The interest we pay on these borrowings is set periodically based upon market rates. We had total indebtedness of $250.0 million outstanding under our Credit Agreement at March 31, 2025. The impact of a one percent increase in interest rates on this amount of debt would result in increased annual interest expense of approximately $2.5 million.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constraints and that management is required to apply judgment in evaluating the benefits of possible controls and procedures relative to their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2025, our disclosure controls and procedures were effective at a level of reasonable assurance.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of the Exchange Act) during the first quarter of 2025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not a party to any material legal proceedings during the three months ended March 31, 2025. In the future, the Company may be subject from time to time to litigation claims and governmental and regulatory proceedings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set forth below, there have been no material changes in our risk factors from those described in our 2024 Form 10-K.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 and foreign trade policies, including the assessment of tariffs and other impositions on imported goods, may have a material adverse impact on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is currently significant uncertainty about the future relationship between the United States and various other countries, including changes arising as a result of the new presidential administration, with respect to trade policies, treaties, tariffs, taxes, and other limitations on cross-border operations. For example, on April 2, 2025, the U.S. government announced a 10% tariff on product imports from almost all countries and individualized higher tariffs on certain other countries. Such tariffs could cause inflation, slow economic growth, intensify trade disputes and have placed downward pressure on oil prices. In addition, tariffs have the potential to significantly increase our operating and capital costs. If we were unable to mitigate the impacts of any such increased costs, our business and our results of operations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share repurchase activity for each period presented:</w:t>
      </w:r>
    </w:p>
    <w:tbl>
      <w:tblPr>
        <w:tblW w:w="10205" w:type="dxa"/>
        <w:jc w:val="left"/>
        <w:tblInd w:w="0" w:type="dxa"/>
        <w:tblLayout w:type="fixed"/>
        <w:tblCellMar>
          <w:top w:w="28" w:type="dxa"/>
          <w:left w:w="28" w:type="dxa"/>
          <w:bottom w:w="28" w:type="dxa"/>
          <w:right w:w="28" w:type="dxa"/>
        </w:tblCellMar>
      </w:tblPr>
      <w:tblGrid>
        <w:gridCol w:w="925"/>
        <w:gridCol w:w="770"/>
        <w:gridCol w:w="779"/>
        <w:gridCol w:w="127"/>
        <w:gridCol w:w="127"/>
        <w:gridCol w:w="127"/>
        <w:gridCol w:w="484"/>
        <w:gridCol w:w="484"/>
        <w:gridCol w:w="485"/>
        <w:gridCol w:w="127"/>
        <w:gridCol w:w="127"/>
        <w:gridCol w:w="127"/>
        <w:gridCol w:w="443"/>
        <w:gridCol w:w="368"/>
        <w:gridCol w:w="370"/>
        <w:gridCol w:w="127"/>
        <w:gridCol w:w="127"/>
        <w:gridCol w:w="127"/>
        <w:gridCol w:w="561"/>
        <w:gridCol w:w="561"/>
        <w:gridCol w:w="562"/>
        <w:gridCol w:w="127"/>
        <w:gridCol w:w="127"/>
        <w:gridCol w:w="127"/>
        <w:gridCol w:w="548"/>
        <w:gridCol w:w="548"/>
        <w:gridCol w:w="793"/>
      </w:tblGrid>
      <w:tr>
        <w:trPr/>
        <w:tc>
          <w:tcPr>
            <w:tcW w:w="9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 (1)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 xml:space="preserve">purchased as part of </w:t>
              <w:br/>
              <w:t>publicly announced plans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w:t>
              <w:br/>
              <w:t xml:space="preserve">of shares that may yet </w:t>
              <w:br/>
              <w:t xml:space="preserve">be purchased under </w:t>
              <w:br/>
              <w:t>the plans or programs</w:t>
              <w:br/>
              <w:t>(in millions)</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 January 31, 2025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 February 28, 2025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 March 31, 2025</w:t>
            </w:r>
          </w:p>
        </w:tc>
        <w:tc>
          <w:tcPr>
            <w:tcW w:w="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w:t>
            </w:r>
          </w:p>
        </w:tc>
        <w:tc>
          <w:tcPr>
            <w:tcW w:w="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37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79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shares that were forfeited for payment of taxes upon vesting of previously awarded restricted stock pursuant to the Granite Ridge Resources, Inc. 2022 Omnibus Incentive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Defaults Upon Senior Securities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28"/>
        <w:gridCol w:w="289"/>
        <w:gridCol w:w="290"/>
        <w:gridCol w:w="109"/>
        <w:gridCol w:w="109"/>
        <w:gridCol w:w="109"/>
        <w:gridCol w:w="2617"/>
        <w:gridCol w:w="2617"/>
        <w:gridCol w:w="3737"/>
      </w:tblGrid>
      <w:tr>
        <w:trPr/>
        <w:tc>
          <w:tcPr>
            <w:tcW w:w="3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9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20"/>
              <w:jc w:val="left"/>
              <w:rPr/>
            </w:pPr>
            <w:hyperlink r:id="rId2">
              <w:r>
                <w:rPr>
                  <w:rStyle w:val="InternetLink"/>
                  <w:rFonts w:ascii="Times New Roman;sans-serif" w:hAnsi="Times New Roman;sans-serif"/>
                  <w:b w:val="false"/>
                  <w:color w:val="0000EE"/>
                  <w:sz w:val="20"/>
                  <w:u w:val="single"/>
                </w:rPr>
                <w:t>Amended and Restated Certificate of Incorporation of Granite Ridge Resources, Inc. (incorporated by reference to Exhibit 3.1 to the Company’s Current Report on Form 8-K filed with the SEC on October 28, 2022).</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
              <w:r>
                <w:rPr>
                  <w:rStyle w:val="InternetLink"/>
                  <w:rFonts w:ascii="Times New Roman;sans-serif" w:hAnsi="Times New Roman;sans-serif"/>
                  <w:b w:val="false"/>
                  <w:color w:val="0000EE"/>
                  <w:sz w:val="20"/>
                  <w:u w:val="single"/>
                </w:rPr>
                <w:t>Amended and Restated Bylaws of Granite Ridge Resources, Inc. (incorporated by reference to Exhibit 3.2 to the Company’s Current Report on Form 8-K filed with the SEC on October 28, 2022).</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50331x10qxexx211.htm">
              <w:r>
                <w:rPr>
                  <w:rStyle w:val="InternetLink"/>
                  <w:rFonts w:ascii="Times New Roman;sans-serif" w:hAnsi="Times New Roman;sans-serif"/>
                  <w:b w:val="false"/>
                  <w:color w:val="0000EE"/>
                  <w:sz w:val="20"/>
                  <w:u w:val="single"/>
                </w:rPr>
                <w:t>Subsidiaries of the Registrant.</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50331x10qxexx311.htm">
              <w:r>
                <w:rPr>
                  <w:rStyle w:val="InternetLink"/>
                  <w:rFonts w:ascii="Times New Roman;sans-serif" w:hAnsi="Times New Roman;sans-serif"/>
                  <w:b w:val="false"/>
                  <w:color w:val="0000EE"/>
                  <w:sz w:val="20"/>
                  <w:u w:val="single"/>
                </w:rPr>
                <w:t>Certification of the Company’s Chief Executive Officer Pursuant to Section 302 of the Sarbanes Oxley Act of 2002 (18 U.S.C. Section 7241).</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50331x10qxexx312.htm">
              <w:r>
                <w:rPr>
                  <w:rStyle w:val="InternetLink"/>
                  <w:rFonts w:ascii="Times New Roman;sans-serif" w:hAnsi="Times New Roman;sans-serif"/>
                  <w:b w:val="false"/>
                  <w:color w:val="0000FF"/>
                  <w:sz w:val="20"/>
                  <w:u w:val="single"/>
                </w:rPr>
                <w:t>Certification of the Company’s Chief Financial Officer Pursuant to Section 302 of the Sarbanes Oxley Act of 2002 (18 U.S.C. Section 7241).</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50331x10qxexx321.htm">
              <w:r>
                <w:rPr>
                  <w:rStyle w:val="InternetLink"/>
                  <w:rFonts w:ascii="Times New Roman;sans-serif" w:hAnsi="Times New Roman;sans-serif"/>
                  <w:b w:val="false"/>
                  <w:color w:val="0000EE"/>
                  <w:sz w:val="20"/>
                  <w:u w:val="single"/>
                </w:rPr>
                <w:t>Certification of the Company’s Chief Executive Officer and Chief Financial Officer Pursuant to Section 906 of the Sarbanes Oxley Act of 2002 (18 U.S.C. Section 1350).</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Table of Contents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711" w:type="dxa"/>
        <w:jc w:val="left"/>
        <w:tblInd w:w="0" w:type="dxa"/>
        <w:tblLayout w:type="fixed"/>
        <w:tblCellMar>
          <w:top w:w="28" w:type="dxa"/>
          <w:left w:w="28" w:type="dxa"/>
          <w:bottom w:w="28" w:type="dxa"/>
          <w:right w:w="28" w:type="dxa"/>
        </w:tblCellMar>
      </w:tblPr>
      <w:tblGrid>
        <w:gridCol w:w="419"/>
        <w:gridCol w:w="367"/>
        <w:gridCol w:w="369"/>
        <w:gridCol w:w="363"/>
        <w:gridCol w:w="363"/>
        <w:gridCol w:w="363"/>
        <w:gridCol w:w="409"/>
        <w:gridCol w:w="409"/>
        <w:gridCol w:w="409"/>
        <w:gridCol w:w="948"/>
        <w:gridCol w:w="948"/>
        <w:gridCol w:w="134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GRANITE RIDGE RESOURCES, INC.</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A. WEIMER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A. Weimer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list includes subsidiaries of Granite Ridge Resources, Inc. All subsidiaries are wholly-owned unless otherwise indicated.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Granite Ridge Holdings, LLC, a Delaware limited liability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Granite Ridge Reeves, LLC, a Delaware limited liability company</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Granite Ridge Vital, LLC, a Delaware limited liability company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Luke C. Brandenberg,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84" w:type="dxa"/>
        <w:jc w:val="left"/>
        <w:tblInd w:w="0" w:type="dxa"/>
        <w:tblLayout w:type="fixed"/>
        <w:tblCellMar>
          <w:top w:w="28" w:type="dxa"/>
          <w:left w:w="28" w:type="dxa"/>
          <w:bottom w:w="28" w:type="dxa"/>
          <w:right w:w="28" w:type="dxa"/>
        </w:tblCellMar>
      </w:tblPr>
      <w:tblGrid>
        <w:gridCol w:w="629"/>
        <w:gridCol w:w="553"/>
        <w:gridCol w:w="558"/>
        <w:gridCol w:w="234"/>
        <w:gridCol w:w="234"/>
        <w:gridCol w:w="236"/>
        <w:gridCol w:w="948"/>
        <w:gridCol w:w="948"/>
        <w:gridCol w:w="134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8, 2025</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LUKE C. BRANDENBERG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Tyler S. Farquharson, certify that: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09" w:type="dxa"/>
        <w:jc w:val="left"/>
        <w:tblInd w:w="0" w:type="dxa"/>
        <w:tblLayout w:type="fixed"/>
        <w:tblCellMar>
          <w:top w:w="28" w:type="dxa"/>
          <w:left w:w="28" w:type="dxa"/>
          <w:bottom w:w="28" w:type="dxa"/>
          <w:right w:w="28" w:type="dxa"/>
        </w:tblCellMar>
      </w:tblPr>
      <w:tblGrid>
        <w:gridCol w:w="629"/>
        <w:gridCol w:w="553"/>
        <w:gridCol w:w="558"/>
        <w:gridCol w:w="234"/>
        <w:gridCol w:w="234"/>
        <w:gridCol w:w="236"/>
        <w:gridCol w:w="838"/>
        <w:gridCol w:w="838"/>
        <w:gridCol w:w="1189"/>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8, 2025</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w:t>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TYLER S. FARQUHARSON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Granite Ridge Resources, Inc., (the “Company”) for the period ended March 31, 2025, as filed with the United States Securities and Exchange Commission on the date hereof (the “Report”), the undersigned officers of the Company hereby certify, pursuant to 18 U.S.C. Section 1350, as adopted pursuant to Section 906 of the Sarbanes-Oxley Act of 2002, that, to their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608" w:type="dxa"/>
        <w:jc w:val="left"/>
        <w:tblInd w:w="0" w:type="dxa"/>
        <w:tblLayout w:type="fixed"/>
        <w:tblCellMar>
          <w:top w:w="28" w:type="dxa"/>
          <w:left w:w="28" w:type="dxa"/>
          <w:bottom w:w="28" w:type="dxa"/>
          <w:right w:w="28" w:type="dxa"/>
        </w:tblCellMar>
      </w:tblPr>
      <w:tblGrid>
        <w:gridCol w:w="629"/>
        <w:gridCol w:w="553"/>
        <w:gridCol w:w="558"/>
        <w:gridCol w:w="134"/>
        <w:gridCol w:w="134"/>
        <w:gridCol w:w="136"/>
        <w:gridCol w:w="408"/>
        <w:gridCol w:w="408"/>
        <w:gridCol w:w="408"/>
        <w:gridCol w:w="945"/>
        <w:gridCol w:w="945"/>
        <w:gridCol w:w="1350"/>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8,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LUKE C. BRANDENBERG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Luke C. Brandenberg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8,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6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TYLER S. FARQUHARSON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Tyler S. Farquharson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446/000110465922112452/tm2228430d2_ex3-1.htm" TargetMode="External"/><Relationship Id="rId3" Type="http://schemas.openxmlformats.org/officeDocument/2006/relationships/hyperlink" Target="https://www.sec.gov/Archives/edgar/data/1928446/000110465922112452/tm2228430d2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17221</Words>
  <Characters>95720</Characters>
  <CharactersWithSpaces>111736</CharactersWithSpaces>
  <Paragraphs>1909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