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1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5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2" w:lineRule="exact"/>
        <w:rPr>
          <w:sz w:val="24"/>
          <w:szCs w:val="24"/>
          <w:color w:val="auto"/>
        </w:rPr>
      </w:pPr>
    </w:p>
    <w:p>
      <w:pPr>
        <w:ind w:left="340" w:hanging="314"/>
        <w:spacing w:after="0"/>
        <w:tabs>
          <w:tab w:leader="none" w:pos="3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001-41537</w:t>
      </w:r>
    </w:p>
    <w:p>
      <w:pPr>
        <w:spacing w:after="0" w:line="1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9"/>
          <w:szCs w:val="29"/>
          <w:color w:val="auto"/>
        </w:rPr>
        <w:t>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GRANITE RIDGE RESOURCES,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 xml:space="preserve"> )</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9"/>
          <w:szCs w:val="29"/>
          <w:color w:val="auto"/>
        </w:rPr>
        <w:t>___________________________________</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Texas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88-2227812</w:t>
            </w:r>
          </w:p>
        </w:tc>
      </w:tr>
      <w:tr>
        <w:trPr>
          <w:trHeight w:val="217"/>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701"/>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5217 McKinney Ave, Suite 400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90"/>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75205</w:t>
            </w:r>
          </w:p>
        </w:tc>
      </w:tr>
      <w:tr>
        <w:trPr>
          <w:trHeight w:val="243"/>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91"/>
        </w:trPr>
        <w:tc>
          <w:tcPr>
            <w:tcW w:w="3800" w:type="dxa"/>
            <w:vAlign w:val="bottom"/>
          </w:tcPr>
          <w:p>
            <w:pPr>
              <w:spacing w:after="0"/>
              <w:rPr>
                <w:sz w:val="24"/>
                <w:szCs w:val="24"/>
                <w:color w:val="auto"/>
              </w:rPr>
            </w:pPr>
          </w:p>
        </w:tc>
        <w:tc>
          <w:tcPr>
            <w:tcW w:w="290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(214) 396-2850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71"/>
        </w:trPr>
        <w:tc>
          <w:tcPr>
            <w:tcW w:w="3800" w:type="dxa"/>
            <w:vAlign w:val="bottom"/>
          </w:tcPr>
          <w:p>
            <w:pPr>
              <w:spacing w:after="0"/>
              <w:rPr>
                <w:sz w:val="23"/>
                <w:szCs w:val="23"/>
                <w:color w:val="auto"/>
              </w:rPr>
            </w:pP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20" w:type="dxa"/>
            <w:vAlign w:val="bottom"/>
          </w:tcPr>
          <w:p>
            <w:pPr>
              <w:spacing w:after="0"/>
              <w:rPr>
                <w:sz w:val="23"/>
                <w:szCs w:val="23"/>
                <w:color w:val="auto"/>
              </w:rPr>
            </w:pPr>
          </w:p>
        </w:tc>
      </w:tr>
      <w:tr>
        <w:trPr>
          <w:trHeight w:val="18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37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59"/>
        </w:trPr>
        <w:tc>
          <w:tcPr>
            <w:tcW w:w="38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2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00"/>
        </w:trPr>
        <w:tc>
          <w:tcPr>
            <w:tcW w:w="380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GRNT</w:t>
            </w:r>
          </w:p>
        </w:tc>
        <w:tc>
          <w:tcPr>
            <w:tcW w:w="382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11"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216"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32" w:lineRule="exact"/>
        <w:rPr>
          <w:sz w:val="24"/>
          <w:szCs w:val="24"/>
          <w:color w:val="auto"/>
        </w:rPr>
      </w:pPr>
    </w:p>
    <w:p>
      <w:pPr>
        <w:sectPr>
          <w:pgSz w:w="11900" w:h="16838" w:orient="portrait"/>
          <w:cols w:equalWidth="0" w:num="8">
            <w:col w:w="1740" w:space="460"/>
            <w:col w:w="420" w:space="720"/>
            <w:col w:w="960" w:space="480"/>
            <w:col w:w="440" w:space="720"/>
            <w:col w:w="1220" w:space="500"/>
            <w:col w:w="400" w:space="720"/>
            <w:col w:w="1560" w:space="560"/>
            <w:col w:w="340"/>
          </w:cols>
          <w:pgMar w:left="320" w:top="229" w:right="339" w:bottom="1440" w:gutter="0" w:footer="0" w:header="0"/>
          <w:type w:val="continuous"/>
        </w:sectPr>
      </w:pPr>
    </w:p>
    <w:p>
      <w:pPr>
        <w:ind w:left="87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194" w:lineRule="exact"/>
        <w:rPr>
          <w:sz w:val="24"/>
          <w:szCs w:val="24"/>
          <w:color w:val="auto"/>
        </w:rPr>
      </w:pPr>
    </w:p>
    <w:p>
      <w:pPr>
        <w:sectPr>
          <w:pgSz w:w="11900" w:h="16838" w:orient="portrait"/>
          <w:cols w:equalWidth="0" w:num="2">
            <w:col w:w="10340" w:space="560"/>
            <w:col w:w="340"/>
          </w:cols>
          <w:pgMar w:left="320" w:top="229" w:right="339" w:bottom="1440" w:gutter="0" w:footer="0" w:header="0"/>
          <w:type w:val="continuous"/>
        </w:sect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November 2, 2026, there were 131,949,243 shares of our common stock, par value $0.0001,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our share repurchase program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and important factors (many of which are beyond our company’s control) could cause actual results to differ materially from those set forth in the forward-looking statements, including the following: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commodity prices and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and related factors affecting our properties;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additional development opportunities and potential or pending acquisition transactions, as well as the effects of such acquisitions on our company’s cash position and levels of indebtedness;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reserves estimates or the value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including, but not limited to, the pace of drilling and completions activity on our properties;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Granite Ridge competes;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legislation, or regulations, including those relating to environmental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cyber-related risks;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reserve estimates depend on many assumptions that may turn out to be inaccurate and that any material inaccuracies in reserve estimates or underlying assumptions will materially affect the quantities and present value of our reserves;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Granite Ridge’s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terrorism or uncertainty regarding the effects and duration of global hostilities, including the Israel-Hamas conflict, the Russia-Ukraine war, the conflict in Iran, continued instability in the Middle East, and any associated armed conflicts or related sanctions which may disrupt commodity prices and create instability in the financial markets;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global, regulatory, technical, and economic factors beyond Granite Ridge’s control, including the potential adverse effects of world health events affecting capital markets, general economic conditions, global supply chains and Granite Ridge’s business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and investor emphasis on, and attention to, environmental, social, and governance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 over financial reporting;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our Annual Report on Form 10-K for the year ended December 31, 2025 (the "2025 Form 10-K") under “Risk Factors,” as updated by any subsequent Quarterly Reports on Form 10-Q, including this Report, which we file with the United States Securities and Exchange Commission (“SEC”).</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047"/>
        </w:trPr>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29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800" w:type="dxa"/>
            <w:vAlign w:val="bottom"/>
            <w:tcBorders>
              <w:top w:val="single" w:sz="8" w:color="0000FF"/>
            </w:tcBorders>
            <w:gridSpan w:val="10"/>
          </w:tcPr>
          <w:p>
            <w:pPr>
              <w:spacing w:after="0"/>
              <w:rPr>
                <w:sz w:val="19"/>
                <w:szCs w:val="19"/>
                <w:color w:val="auto"/>
              </w:rPr>
            </w:pPr>
          </w:p>
        </w:tc>
        <w:tc>
          <w:tcPr>
            <w:tcW w:w="4160" w:type="dxa"/>
            <w:vAlign w:val="bottom"/>
            <w:gridSpan w:val="5"/>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4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w:t>
            </w:r>
          </w:p>
        </w:tc>
        <w:tc>
          <w:tcPr>
            <w:tcW w:w="1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8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20" w:type="dxa"/>
            <w:vAlign w:val="bottom"/>
          </w:tcPr>
          <w:p>
            <w:pPr>
              <w:spacing w:after="0"/>
              <w:rPr>
                <w:sz w:val="22"/>
                <w:szCs w:val="22"/>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Pr>
          <w:p>
            <w:pPr>
              <w:spacing w:after="0"/>
              <w:rPr>
                <w:sz w:val="22"/>
                <w:szCs w:val="22"/>
                <w:color w:val="auto"/>
              </w:rPr>
            </w:pP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8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 w:type="dxa"/>
            <w:vAlign w:val="bottom"/>
            <w:tcBorders>
              <w:top w:val="single" w:sz="8" w:color="0000FF"/>
            </w:tcBorders>
          </w:tcPr>
          <w:p>
            <w:pPr>
              <w:spacing w:after="0"/>
              <w:rPr>
                <w:sz w:val="19"/>
                <w:szCs w:val="19"/>
                <w:color w:val="auto"/>
              </w:rPr>
            </w:pPr>
          </w:p>
        </w:tc>
        <w:tc>
          <w:tcPr>
            <w:tcW w:w="62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4"/>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4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920" w:type="dxa"/>
            <w:vAlign w:val="bottom"/>
            <w:gridSpan w:val="13"/>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tcPr>
          <w:p>
            <w:pPr>
              <w:spacing w:after="0"/>
              <w:rPr>
                <w:sz w:val="19"/>
                <w:szCs w:val="19"/>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tcPr>
          <w:p>
            <w:pPr>
              <w:spacing w:after="0"/>
              <w:rPr>
                <w:sz w:val="19"/>
                <w:szCs w:val="19"/>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tcBorders>
              <w:top w:val="single" w:sz="8" w:color="0000FF"/>
            </w:tcBorders>
            <w:gridSpan w:val="2"/>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20" w:type="dxa"/>
            <w:vAlign w:val="bottom"/>
            <w:gridSpan w:val="3"/>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4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40" w:type="dxa"/>
            <w:vAlign w:val="bottom"/>
            <w:gridSpan w:val="10"/>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74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9"/>
                <w:szCs w:val="19"/>
                <w:color w:val="auto"/>
              </w:rPr>
            </w:pPr>
          </w:p>
        </w:tc>
        <w:tc>
          <w:tcPr>
            <w:tcW w:w="6500" w:type="dxa"/>
            <w:vAlign w:val="bottom"/>
            <w:gridSpan w:val="11"/>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74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660" w:type="dxa"/>
            <w:vAlign w:val="bottom"/>
            <w:gridSpan w:val="18"/>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20" w:type="dxa"/>
            <w:vAlign w:val="bottom"/>
          </w:tcPr>
          <w:p>
            <w:pPr>
              <w:spacing w:after="0"/>
              <w:rPr>
                <w:sz w:val="19"/>
                <w:szCs w:val="19"/>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 data)</w:t>
            </w: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6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9"/>
        </w:trPr>
        <w:tc>
          <w:tcPr>
            <w:tcW w:w="7500" w:type="dxa"/>
            <w:vAlign w:val="bottom"/>
            <w:tcBorders>
              <w:bottom w:val="single" w:sz="8" w:color="CCEEFF"/>
            </w:tcBorders>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20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 receivable</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74,166</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Advances to operators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13,978</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investments</w:t>
            </w:r>
          </w:p>
        </w:tc>
        <w:tc>
          <w:tcPr>
            <w:tcW w:w="2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118,883</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and gas properties, successful efforts method</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2,087,343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1,897,388</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depletion</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(1,001,038)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(857,832)</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1,086,305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1,039,556</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assets: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assets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9,632</w:t>
            </w:r>
          </w:p>
        </w:tc>
      </w:tr>
      <w:tr>
        <w:trPr>
          <w:trHeight w:val="20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1,259,495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1,168,071</w:t>
            </w:r>
          </w:p>
        </w:tc>
      </w:tr>
      <w:tr>
        <w:trPr>
          <w:trHeight w:val="23"/>
        </w:trPr>
        <w:tc>
          <w:tcPr>
            <w:tcW w:w="7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6"/>
        </w:trPr>
        <w:tc>
          <w:tcPr>
            <w:tcW w:w="7500" w:type="dxa"/>
            <w:vAlign w:val="bottom"/>
            <w:tcBorders>
              <w:bottom w:val="single" w:sz="8" w:color="CCEEFF"/>
            </w:tcBorders>
            <w:shd w:val="clear" w:color="auto" w:fill="CCEEFF"/>
          </w:tcPr>
          <w:p>
            <w:pPr>
              <w:ind w:left="22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20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76,847</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liabilities - commodity derivatives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95,181</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debt, net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367,832</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liabilities - commodity derivatives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87,330</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long-term payables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534,289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467,130</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562,311</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$0.0001 par value, 431,000,000 shares authorized, 137,641,655 and 136,941,978 issued at September 30, 2026</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December 31, 2025,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659,228</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w:t>
            </w:r>
          </w:p>
        </w:tc>
      </w:tr>
      <w:tr>
        <w:trPr>
          <w:trHeight w:val="20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at cost, 5,692,412 and 5,686,711 shares at September 30, 2026 and December 31, 2025, respectively</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w:t>
            </w:r>
          </w:p>
        </w:tc>
      </w:tr>
      <w:tr>
        <w:trPr>
          <w:trHeight w:val="24"/>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605,760</w:t>
            </w:r>
          </w:p>
        </w:tc>
      </w:tr>
      <w:tr>
        <w:trPr>
          <w:trHeight w:val="19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1,259,495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1,168,071</w:t>
            </w:r>
          </w:p>
        </w:tc>
      </w:tr>
      <w:tr>
        <w:trPr>
          <w:trHeight w:val="24"/>
        </w:trPr>
        <w:tc>
          <w:tcPr>
            <w:tcW w:w="7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454,742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344,821</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Impairments of long-lived assets</w:t>
            </w:r>
          </w:p>
        </w:tc>
        <w:tc>
          <w:tcPr>
            <w:tcW w:w="2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117,945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93,082</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341,616</w:t>
            </w: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261,962</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82,859</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derivatives - commodity derivatives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(16,998)</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equity investments</w:t>
            </w:r>
          </w:p>
        </w:tc>
        <w:tc>
          <w:tcPr>
            <w:tcW w:w="2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(loss)</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(140,261)</w:t>
            </w: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64,842</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130,426</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8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3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120" w:type="dxa"/>
            <w:vAlign w:val="bottom"/>
            <w:gridSpan w:val="5"/>
            <w:vMerge w:val="continue"/>
          </w:tcPr>
          <w:p>
            <w:pPr>
              <w:spacing w:after="0"/>
              <w:rPr>
                <w:sz w:val="9"/>
                <w:szCs w:val="9"/>
                <w:color w:val="auto"/>
              </w:rPr>
            </w:pPr>
          </w:p>
        </w:tc>
        <w:tc>
          <w:tcPr>
            <w:tcW w:w="1280" w:type="dxa"/>
            <w:vAlign w:val="bottom"/>
            <w:gridSpan w:val="2"/>
            <w:vMerge w:val="restart"/>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136,942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605,760</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(47,031)</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(47,031)</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(78,778)</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545,636</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(14,509)</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29,996</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29,996</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137,593</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661,876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562,373</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539,339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8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3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9"/>
                <w:szCs w:val="9"/>
                <w:color w:val="auto"/>
              </w:rPr>
            </w:pPr>
          </w:p>
        </w:tc>
        <w:tc>
          <w:tcPr>
            <w:tcW w:w="1140" w:type="dxa"/>
            <w:vAlign w:val="bottom"/>
            <w:gridSpan w:val="2"/>
            <w:vMerge w:val="restart"/>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5"/>
            <w:vMerge w:val="continue"/>
          </w:tcPr>
          <w:p>
            <w:pPr>
              <w:spacing w:after="0"/>
              <w:rPr>
                <w:sz w:val="9"/>
                <w:szCs w:val="9"/>
                <w:color w:val="auto"/>
              </w:rPr>
            </w:pPr>
          </w:p>
        </w:tc>
        <w:tc>
          <w:tcPr>
            <w:tcW w:w="1280" w:type="dxa"/>
            <w:vAlign w:val="bottom"/>
            <w:gridSpan w:val="2"/>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00" w:type="dxa"/>
            <w:vAlign w:val="bottom"/>
            <w:vMerge w:val="continue"/>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136,418</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635,353</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0" w:type="dxa"/>
            <w:vAlign w:val="bottom"/>
          </w:tcPr>
          <w:p>
            <w:pPr>
              <w:spacing w:after="0"/>
              <w:rPr>
                <w:sz w:val="1"/>
                <w:szCs w:val="1"/>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136,824</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656,125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631,413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0" w:type="dxa"/>
            <w:vAlign w:val="bottom"/>
          </w:tcPr>
          <w:p>
            <w:pPr>
              <w:spacing w:after="0"/>
              <w:rPr>
                <w:sz w:val="1"/>
                <w:szCs w:val="1"/>
                <w:color w:val="auto"/>
              </w:rPr>
            </w:pPr>
          </w:p>
        </w:tc>
      </w:tr>
      <w:tr>
        <w:trPr>
          <w:trHeight w:val="19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136,952</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656,520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22,128</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642,466</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issued related to stock-based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0" w:type="dxa"/>
            <w:vAlign w:val="bottom"/>
          </w:tcPr>
          <w:p>
            <w:pPr>
              <w:spacing w:after="0"/>
              <w:rPr>
                <w:sz w:val="1"/>
                <w:szCs w:val="1"/>
                <w:color w:val="auto"/>
              </w:rPr>
            </w:pPr>
          </w:p>
        </w:tc>
      </w:tr>
      <w:tr>
        <w:trPr>
          <w:trHeight w:val="206"/>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14,523</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136,938</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657,859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22,215</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643,892</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49,416</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157,804</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Impairments of long-lived assets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derivatives - commodity derivatives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(11,666)</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deferred financing costs and original issue discount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equity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cash attributable to changes in operating assets and liabilities: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 receivable</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206"/>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0" w:type="dxa"/>
            <w:vAlign w:val="bottom"/>
          </w:tcPr>
          <w:p>
            <w:pPr>
              <w:spacing w:after="0"/>
              <w:rPr>
                <w:sz w:val="1"/>
                <w:szCs w:val="1"/>
                <w:color w:val="auto"/>
              </w:rPr>
            </w:pPr>
          </w:p>
        </w:tc>
      </w:tr>
      <w:tr>
        <w:trPr>
          <w:trHeight w:val="206"/>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 and long-term payables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231,914</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expenditures for oil and natural gas properties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(233,135)</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(57,048)</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equity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oil and natural gas properties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Refund of advances to operators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 on acquisition of oil and natural gas properties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(201,363)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(280,787)</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borrowing on credit facilities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Repayments of borrowing on credit facilities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Repayments of senior unsecured notes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dividends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(43,248)</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51,286</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0" w:type="dxa"/>
            <w:vAlign w:val="bottom"/>
          </w:tcPr>
          <w:p>
            <w:pPr>
              <w:spacing w:after="0"/>
              <w:rPr>
                <w:sz w:val="1"/>
                <w:szCs w:val="1"/>
                <w:color w:val="auto"/>
              </w:rPr>
            </w:pPr>
          </w:p>
        </w:tc>
      </w:tr>
      <w:tr>
        <w:trPr>
          <w:trHeight w:val="20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at end of period</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accrued capital expenditures included in accounts payable and accrued liabilities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Advances to operators applied to development of oil and natural gas properties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115,868</w:t>
            </w:r>
          </w:p>
        </w:tc>
        <w:tc>
          <w:tcPr>
            <w:tcW w:w="0" w:type="dxa"/>
            <w:vAlign w:val="bottom"/>
          </w:tcPr>
          <w:p>
            <w:pPr>
              <w:spacing w:after="0"/>
              <w:rPr>
                <w:sz w:val="1"/>
                <w:szCs w:val="1"/>
                <w:color w:val="auto"/>
              </w:rPr>
            </w:pPr>
          </w:p>
        </w:tc>
      </w:tr>
      <w:tr>
        <w:trPr>
          <w:trHeight w:val="23"/>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Granite Ridge Resources, Inc. (together with its consolidated subsidiaries, “Granite Ridge” or the “Company”), a Texas corporation, is a scaled energy company which aims to provide shareholders with exposure similar to energy private equity through operated partnerships and traditional non-operated assets in multiple basins throughout North America. On August 5, 2026, the Company completed its reincorporation from the State of Delaware to the State of Texas by means of a conversion.</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complete discussion of the Company’s significant accounting policies is included in the 2025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 Basis of Presentation, Consolidation, and Significant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not been audited by the Company’s independent registered public accounting firm, except that the condensed consolidated balance sheet at December 31, 2025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2025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 of operations, is used by the CODM to assess performance for the oil and natural gas development, exploration and production segment. Significant segment expenses are the same as those reported in the condensed consolidated statements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Total assets, as reported within the Company’s condensed consolidated balance sheets, is the measure of segment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Properties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successful efforts method of accounting for oil and natural gas producing activities, as further defined under Accounting Standards Codification ("ASC") 932, </w:t>
      </w:r>
      <w:r>
        <w:rPr>
          <w:rFonts w:ascii="Times New Roman" w:cs="Times New Roman" w:eastAsia="Times New Roman" w:hAnsi="Times New Roman"/>
          <w:sz w:val="18"/>
          <w:szCs w:val="18"/>
          <w:i w:val="1"/>
          <w:iCs w:val="1"/>
          <w:color w:val="auto"/>
        </w:rPr>
        <w:t>Extractive Activities - Oil and Gas</w:t>
      </w:r>
      <w:r>
        <w:rPr>
          <w:rFonts w:ascii="Times New Roman" w:cs="Times New Roman" w:eastAsia="Times New Roman" w:hAnsi="Times New Roman"/>
          <w:sz w:val="18"/>
          <w:szCs w:val="18"/>
          <w:color w:val="auto"/>
        </w:rPr>
        <w:t xml:space="preserve"> (“ASC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$64.0 million and $55.7 million for the three months ended September 30, 2026 and 2025, respectively, and $171.1 million and $157.1 million for the nine months ended September 30, 2026 and 2025,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No proved property impairment was recorded for the three or nine months ended September 30, 2026 or 2025.</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no unproved oil and gas properties impairment for the three months ended September 30, 2026 and $20.3 million for the nine months ended September 30, 2026 as a result of changes in operator development plans and reassessment of the economic viability of certain acreage in the Permian Basin resulting from unfavorable drilling results and further geologic and reservoir analysis of the acreage. No unproved property impairment was recorded for the three and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its investment in common stock.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 until the preferred stock was converted into common stock.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Crescent Energy Company (“Crescent Energy”) completed its previously announced merger with Vital Energy, Inc.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Energy Class A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the Company disposed of its remaining 1,306,263 shares of Crescent Energy common stock and realized a loss on sale of $2.2 million which is included in gain (loss) on equity investments within the Company’s condensed consolidated statements of operations for the nine months ended September 30, 2026. During the</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quarter of 2025, the Company divested 342,636 shares of Vital Energy common stock and realized a loss on sale of $10.5 million for the nine months ended September 30, 2025. As of September 30, 2026, the Company holds no shares of Crescent Energy’s or Vital Energy’s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reported as gain (loss) on equity investments in the condensed consolidated statements of operations for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equity investments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 on equity investment</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obligations are satisfied when the customer obtains control of the product, when the Company has no further obligations to perform related to the sale, when the transaction price has been determined, and when collectability is probable.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obligations are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Take in Kind Oil and Natural Gas 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transportation expenses the Company incurs to transport the volumes to downstream customers are recorded in lease operating expenses in the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Oil and Natural Gas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the Appalachian Basin (Ohio). The following tables present the disaggregation of the Company’s oil and natural gas revenues by basin for the three and nine months ended September 30, 2026 and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71,552</w:t>
            </w: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242,547</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Eagle Ford</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Bakken</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Haynesville</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Appalachian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Applicable Accounting Pronouncements (Issued and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which requires enhanced disclosure about specific types of expenses included in the expense captions presented on the face of the consolidated statement of operations as well as disclosures about selling expenses. ASU 2024-03 is effective for annual periods beginning after December 15, 2026 and interim periods beginning after December 15, 2027. Early adoption is permitted. The Company has not early adopted the standard and is currently assessing the effect that ASU 2024-03 will have on its disclosures.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Derivative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designate its derivative instruments to qualify for hedge accounting. Accordingly, the Company reflects changes in the fair value of its derivative instruments in its condensed consolidated statements of operations as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Derivatives Collar Option Contracts and Swaps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commodity derivative financial instruments consist of collar option contracts and swaps.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swap contract allows the Company to receive a fixed price and pay a floating market price to the counterparty for the hedged commodity.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master netting agreements on individual derivative instruments with its counterparties and therefore certain amounts may be presented on a net basis in the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of Commodity Derivative Collar Option Contracts and Swap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outstanding commodity derivative contracts as of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4Q 2026</w:t>
            </w:r>
          </w:p>
        </w:tc>
        <w:tc>
          <w:tcPr>
            <w:tcW w:w="26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2028</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Collars (oil)</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2,409,728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512,487</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($/Bbl)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Swaps (oil)</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452,936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Swaps (oil WTI / Brent CMA Diff)</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price ($/Bbl)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Collars (natural gas)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4,342,750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7,237,926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3,326,063</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($/Mcf)</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($/Mcf)</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Swaps (natural gas)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9,592,257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($/Mcf)</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Swaps (natural gas Waha Basis)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5,990,056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841,893</w:t>
            </w:r>
          </w:p>
        </w:tc>
        <w:tc>
          <w:tcPr>
            <w:tcW w:w="0" w:type="dxa"/>
            <w:vAlign w:val="bottom"/>
          </w:tcPr>
          <w:p>
            <w:pPr>
              <w:spacing w:after="0"/>
              <w:rPr>
                <w:sz w:val="1"/>
                <w:szCs w:val="1"/>
                <w:color w:val="auto"/>
              </w:rPr>
            </w:pPr>
          </w:p>
        </w:tc>
      </w:tr>
      <w:tr>
        <w:trPr>
          <w:trHeight w:val="2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price ($/Mcf)</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Capacity Contract</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12, 2025, the Company entered into a power capacity contract ("Power Capacity Contract") as part of its strategy to enhance the value of its natural gas production. The arrangement is intended to economically hedge exposure to weak regional gas pricing and negative basis differentials by providing participation in power market revenues derived from converting natural gas into electricity.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counterparty is constructing a fleet of distributed power generation facilities with an aggregate capacity of 200 megawatts, which are expected to begin commercial operations in 2027. The Company’s agreement covers a portion of the total expected capacity and has a seven-year settlement term commencing upon the first facility achieving commercial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arrangement, the Company is obligated to make fixed monthly payments based on operating generation capacity multiplied by its participation interest. In return, the Company receives variable payments representing its share of the facilities’ operating profit. Operating profit is generally defined as revenue from the sale of power, less gas feedstock costs and a fixed operating and maintenance charge.</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structure allows the Company to benefit when power prices are favorable relative to gas prices, helping offset periods of depressed gas realizations. Conversely, when gas prices are strong and power generation is less economical, the Company may make net payments under the arrangement but benefits from improved cash flows on its physical gas sales. Overall, the arrangement is intended to stabilize and potentially enhance cash flows by diversifying the Company’s overall commodity price exposure.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reported in the condensed consolidated statements of operations related to the commodity derivative instruments for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(payments on) commodity derivatives</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7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cash receipts from (payments on) commodity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(55,485)</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(57,323)</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7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capacity contract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unrealized gain (loss) on commodity derivatives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 (loss) on derivatives - commodity derivatives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adopted and follows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and fair values of the Company’s financial instruments as of September 30,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88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348,373</w:t>
            </w: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39,429</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facilities </w:t>
      </w:r>
      <w:r>
        <w:rPr>
          <w:rFonts w:ascii="Times New Roman" w:cs="Times New Roman" w:eastAsia="Times New Roman" w:hAnsi="Times New Roman"/>
          <w:sz w:val="18"/>
          <w:szCs w:val="18"/>
          <w:color w:val="auto"/>
        </w:rPr>
        <w:t>— The carrying amounts of the revolving credit facilities approximate their fair values, as the applicable interest rates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and reflective of market rates and are classified as Level 2 in the fair value hierarchy.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2029 Senior Notes - </w:t>
      </w:r>
      <w:r>
        <w:rPr>
          <w:rFonts w:ascii="Times New Roman" w:cs="Times New Roman" w:eastAsia="Times New Roman" w:hAnsi="Times New Roman"/>
          <w:sz w:val="18"/>
          <w:szCs w:val="18"/>
          <w:color w:val="auto"/>
        </w:rPr>
        <w:t>The carrying value reported for the Senior Notes is shown net of unamortized discount and unamortized deferred financing costs.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Senior Notes was determined utilizing a discounted cash flow approach, discounted using market rates, and is classified as Level 3 in the fair value hierarchy.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financial assets and liabilities </w:t>
      </w:r>
      <w:r>
        <w:rPr>
          <w:rFonts w:ascii="Times New Roman" w:cs="Times New Roman" w:eastAsia="Times New Roman" w:hAnsi="Times New Roman"/>
          <w:sz w:val="18"/>
          <w:szCs w:val="18"/>
          <w:color w:val="auto"/>
        </w:rPr>
        <w:t>— The carrying amounts of the Company’s other financial assets and liabilities, such as revenue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and accrued liabilities, approximate their fair values because of the short maturity of these instruments.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commodity derivatives - collar option contracts and swaps </w:t>
      </w:r>
      <w:r>
        <w:rPr>
          <w:rFonts w:ascii="Times New Roman" w:cs="Times New Roman" w:eastAsia="Times New Roman" w:hAnsi="Times New Roman"/>
          <w:sz w:val="18"/>
          <w:szCs w:val="18"/>
          <w:color w:val="auto"/>
        </w:rPr>
        <w:t>— The fair value of the Company’s collar option contracts and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Substantially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Derivative instruments - commodity derivatives - power capacity contract </w:t>
      </w:r>
      <w:r>
        <w:rPr>
          <w:rFonts w:ascii="Times New Roman" w:cs="Times New Roman" w:eastAsia="Times New Roman" w:hAnsi="Times New Roman"/>
          <w:sz w:val="18"/>
          <w:szCs w:val="18"/>
          <w:color w:val="auto"/>
        </w:rPr>
        <w:t>— The fair value of the Company’s power capacity contract is estimated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using a valuation model that incorporates both observable and unobservable inputs, as well as the time value of the underlying contractual cash flows. The fair value measurement is classified within Level 3 of the fair value hierarchy because significant inputs, including hourly forward power prices over the term of the agreement, are not observable for the term of the arrangement.</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utilizes a Monte Carlo simulation model to estimate fair value. Key inputs include: (i) forecasted hourly forward power prices at the applicable delivery nodes of the generation facilities, (ii) forward natural gas prices, (iii) long-term power and natural gas price volatilities and correlations,</w:t>
      </w:r>
    </w:p>
    <w:p>
      <w:pPr>
        <w:spacing w:after="0" w:line="1" w:lineRule="exact"/>
        <w:rPr>
          <w:sz w:val="20"/>
          <w:szCs w:val="20"/>
          <w:color w:val="auto"/>
        </w:rPr>
      </w:pPr>
    </w:p>
    <w:p>
      <w:pPr>
        <w:ind w:firstLine="8"/>
        <w:spacing w:after="0" w:line="243" w:lineRule="auto"/>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dates of the facilities, (v) assumed operating efficiencies of the facilities, (vi) credit-adjusted discount rates, (vii) risk-free interest rate curves, and (viii) other relevant economic assumptions.</w:t>
      </w: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the valuation incorporates significant unobservable inputs, changes in these assumptions could materially impact the estimated fair value of the arrangement.</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 The fair value of the Company’s equity investment in common stock was valued using the instrument's publicly listed trading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considered to be a Level 1 measurement due to the use of an observable market quote in an active market.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Energy Class A common stock. As of September 30, 2026, the Company held no equity investments.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September 30, 2026 and December 31, 2025. The Company nets the fair value of commodity derivative instruments by counterparty in the Company’s condensed consolidated 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0" w:type="dxa"/>
            <w:vAlign w:val="bottom"/>
          </w:tcPr>
          <w:p>
            <w:pPr>
              <w:spacing w:after="0"/>
              <w:rPr>
                <w:sz w:val="1"/>
                <w:szCs w:val="1"/>
                <w:color w:val="auto"/>
              </w:rPr>
            </w:pPr>
          </w:p>
        </w:tc>
      </w:tr>
      <w:tr>
        <w:trPr>
          <w:trHeight w:val="29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 common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77"/>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unobservable inputs used in the valuation of the Level 3 Power Capacity Contract as of September 30, 2026.</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r>
              <w:rPr>
                <w:rFonts w:ascii="Times New Roman" w:cs="Times New Roman" w:eastAsia="Times New Roman" w:hAnsi="Times New Roman"/>
                <w:sz w:val="18"/>
                <w:szCs w:val="18"/>
                <w:b w:val="1"/>
                <w:bCs w:val="1"/>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23"/>
        </w:trPr>
        <w:tc>
          <w:tcPr>
            <w:tcW w:w="6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63"/>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Hourly forward power prices per MWh</w:t>
            </w:r>
            <w:r>
              <w:rPr>
                <w:rFonts w:ascii="Times New Roman" w:cs="Times New Roman" w:eastAsia="Times New Roman" w:hAnsi="Times New Roman"/>
                <w:sz w:val="23"/>
                <w:szCs w:val="23"/>
                <w:color w:val="auto"/>
                <w:vertAlign w:val="superscript"/>
              </w:rPr>
              <w:t>(2)</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304.28</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64.48</w:t>
            </w:r>
          </w:p>
        </w:tc>
      </w:tr>
      <w:tr>
        <w:trPr>
          <w:trHeight w:val="270"/>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gas prices per MMBtu</w:t>
            </w:r>
            <w:r>
              <w:rPr>
                <w:rFonts w:ascii="Times New Roman" w:cs="Times New Roman" w:eastAsia="Times New Roman" w:hAnsi="Times New Roman"/>
                <w:sz w:val="23"/>
                <w:szCs w:val="23"/>
                <w:color w:val="auto"/>
                <w:vertAlign w:val="superscript"/>
              </w:rPr>
              <w:t>(3)</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2.64</w:t>
            </w:r>
          </w:p>
        </w:tc>
      </w:tr>
      <w:tr>
        <w:trPr>
          <w:trHeight w:val="263"/>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Forward power volatility</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77"/>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gas volatility</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8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ind w:left="340" w:right="220" w:hanging="332"/>
        <w:spacing w:after="0" w:line="242"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range of the inputs may be influenced by factors such as time of day, delivery period, season and location. The average represents the arithmetic average of the underlying inputs and is not weighted by the related fair value or notional amount.</w:t>
      </w:r>
    </w:p>
    <w:p>
      <w:pPr>
        <w:spacing w:after="0" w:line="1" w:lineRule="exact"/>
        <w:rPr>
          <w:rFonts w:ascii="Times New Roman" w:cs="Times New Roman" w:eastAsia="Times New Roman" w:hAnsi="Times New Roman"/>
          <w:sz w:val="18"/>
          <w:szCs w:val="18"/>
          <w:color w:val="auto"/>
        </w:rPr>
      </w:pPr>
    </w:p>
    <w:p>
      <w:pPr>
        <w:ind w:left="340" w:right="300" w:hanging="332"/>
        <w:spacing w:after="0" w:line="244"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the Electric Reliability Council of Texas ("ERCOT") West Load Zone monthly forward around the clock swap prices shaped by historical hourly nodal prices in relation to ERCOT West Load Zone.</w:t>
      </w:r>
    </w:p>
    <w:p>
      <w:pPr>
        <w:spacing w:after="0" w:line="1" w:lineRule="exact"/>
        <w:rPr>
          <w:rFonts w:ascii="Times New Roman" w:cs="Times New Roman" w:eastAsia="Times New Roman" w:hAnsi="Times New Roman"/>
          <w:sz w:val="20"/>
          <w:szCs w:val="20"/>
          <w:color w:val="auto"/>
        </w:rPr>
      </w:pPr>
    </w:p>
    <w:p>
      <w:pPr>
        <w:ind w:left="320" w:hanging="312"/>
        <w:spacing w:after="0" w:line="225" w:lineRule="auto"/>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the Waha forward monthly gas prices.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Level 3 Power Capacity Contract:</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63"/>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Gain (loss) on commodity derivatives</w:t>
            </w: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64"/>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Gain (loss) on commodity derivatives</w:t>
            </w: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63"/>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Gain (loss) on commodity derivatives</w:t>
            </w: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w:t>
            </w:r>
          </w:p>
        </w:tc>
      </w:tr>
      <w:tr>
        <w:trPr>
          <w:trHeight w:val="28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 Nonrecurring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 The fair value measurements of asset retirement obligations are measured on a nonrecurring basis when a well is drilled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Impairments of long-lived assets </w:t>
      </w:r>
      <w:r>
        <w:rPr>
          <w:rFonts w:ascii="Times New Roman" w:cs="Times New Roman" w:eastAsia="Times New Roman" w:hAnsi="Times New Roman"/>
          <w:sz w:val="18"/>
          <w:szCs w:val="18"/>
          <w:color w:val="auto"/>
        </w:rPr>
        <w:t>— The Company periodically reviews its long-lived assets to be held and used whenever events or circumstances indicate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carrying value of those assets may not be recoverable; for instance, when there are declines in commodity prices or well performance. An impairment loss is recognized for the amount by which the carrying amount of the asset exceeds the estimated fair value of the asset.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calculates the estimated fair values of its long-lived assets using the market and income valuation approaches. The income approach is calculated using a discounted future cash flow model. Fair value assumptions associated with the calculation of discounted future net cash flows include (i) market estimates of commodity prices, which are based on the NYMEX strip, (ii) pricing adjustments for differentials, (iii) production costs, (iv) capital expenditures, (v) production volumes, (vi) estimated proved and unproved reserves, (vii) discount rate, and (viii) risk-adjustment factors. The expected future net cash flows are generally discounted using a market-based rate for proved developed producing reserves and an appropriate market discount rate based on risk for other reserve categories. The Company has historically also used the market approach by identifying market comparisons of recent transactions of oil and gas properties that share geographical and reserve characteristics to assess the fair value of the Company's assets. These are classified as Level 3 fair value assumptions.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an impairment of $9.1 million on certain unproved oil and natural gas properties as a result of unfavorable drilling results and a revised geologic interpretation of the related acreage. There were no recent comparable transactions of oil and gas properties sharing the geographical and reserve characteristics of the affected acreage. Therefore, the fair value was determined using the income approach. As of the June 30, 2026 impairment recognition date, the Company's estimates of commodity prices for purposes of determining discounted future cash flows, which are based on the NYMEX strip, ranged from a 2026 price of $69.93 per barrel of oil decreasing to a 2030 price of $63.66 per barrel of oil, held flat thereafter. Natural gas prices ranged from a 2026 price of $3.35 per Mcf of natural gas increasing to a 2028 price of $3.68 per Mcf, then held flat beginning in 2030 at a price of $3.57 per Mcf. The resulting cash flows were discounted using a market-based discount rate of 10% then further risked based on reserve category.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$11.2 million of unproved property impairment recognized during the nine months ended September 30, 2026 did not require fair value measurement as it related to acreage that was fully impaired as a result of changes in operator development plans.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acquired various oil and natural gas properties. The following table presents the cumulative adjusted purchase price of transactions accounted for as asset acquisitions in</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by basin included in oil and gas properties on the Company’s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8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Bakken</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Appalachian</w:t>
            </w:r>
          </w:p>
        </w:tc>
        <w:tc>
          <w:tcPr>
            <w:tcW w:w="5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27, 2026, the Company entered into a definitive purchase and sale agreement to sell certain of its traditional non-operated working interests in proved properties located in Weld and Adams Counties in the DJ Basin in Colorado, in exchange for cash consideration, subject to customary purchase price adjustments, of $24.3 million. The Company closed this transaction on September 15, 2026 and recorded a loss on disposition of $3.1 million for the three and nine months ended September 30, 2026, which is included in other, net in the condensed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disposed of other proved properties in exchange for cash consideration of $6.0 million and the relief of a $2.2 million minimum volume commitment obligation, which is included in the consideration received. The disposal of these proved properties was treated as a normal retirement with no gain or loss recognized on the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certain proved and unproved properties for total proceeds of $0.2 million. During the nine months ended September 30, 2025, proceeds from the divested unproved properties of $0.1 million resulted in a gain on sale, which is included in other, net in the condensed consolidated statements of operations.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granted restricted stock awards, stock options, PSUs, and other awards. Stock-based compensation expense during the three and nine months ended September 30, 2026 was $1.5 million and $4.2 million, respectively. Stock-based compensation expense during the three and nine months ended September 30, 2025 was $1.3 million and $2.4 million, respectively.</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 The Company grants service-based restricted stock awards to certain of its employees and consultants, which generally 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over a period of three years or cliff vest at the end of five years, and to non-employee directors, which generally vest in full after one year. In August 2026, in connection with their appointment to the Board of Directors, the Company granted 5,315 shares of restricted stock to each of two newly appointed non-employee directors (a total of 10,630 shares of restricted stock), which vest in full on January 2, 2027.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PSUs </w:t>
      </w:r>
      <w:r>
        <w:rPr>
          <w:rFonts w:ascii="Times New Roman" w:cs="Times New Roman" w:eastAsia="Times New Roman" w:hAnsi="Times New Roman"/>
          <w:sz w:val="18"/>
          <w:szCs w:val="18"/>
          <w:color w:val="auto"/>
        </w:rPr>
        <w:t>- The Company grants PSUs to certain of its officers under the Plan. PSUs represent the contingent right to receive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once the PSU is vested and earned. Certain PSUs granted are based upon the</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achievement of "financial performance" and "market performance" criteria for the Company. Such PSUs cliff vest at the end of three years, generally subject to continued employment through the performance period. The total number of shares eligible to be earned may range from zero to 200% of the target number of PSUs granted, determined based upon achievement of the determined financial performance and market performance criteria.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The Company utilizes the Monte Carlo simulation method to determine the fair value of the PSUs based on market performance, while PSUs based on financial performance are valued using the closing price of the Company's common stock on the date of grant. During the first quarter of 2026, the Company granted 86,504 PSUs with a performance period ending on December 31, 2028, half of which are related to financial performance criteria and half of which are related to market performance criteria. During the first quarter of 2025, the Company granted 76,650 PSUs with a performance period ending on December 31, 2027, half of which are related to financial performance criteria and half of which are related to market performance criteria. During the first quarter of 2026, the Company issued 21,515 shares of common stock as a result of the conversion of 13,287 PSUs that vested on December 31, 2025.</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PSUs granted are based on the Company's achievement of stock price thresholds. During the second quarter of 2025, the Company granted 644,330 of these PSUs to certain of its officers under the Plan. During the first quarter of 2026, the Company granted an additional 292,398 of these PSUs. Such PSUs are eligible to vest, generally subject to continued employment, upon the satisfaction of certain stock price thresholds during the performance period, which ends on December 31, 2032. Each such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 substance, multiple awards, as applicable. During the three months ended September 30, 2026, the Company did not grant any additional PSUs under the Plan.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grants stock options to certain of its officers under the Plan. The Company's outstanding stock options expire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of grant. Pursuant to the stock options granted under the Plan, 33% of the options vest immediately with an additional 33% vesting on each of the next two anniversaries of the date of the grant, generally subject to continued employment through each such vesting date. During the first quarter of 2026, the Company granted 102,478 stock options with an exercise price of $5.26 per share. During the first quarter of 2025, the Company granted 110,257 stock options with an exercise price of $5.61 per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 During the three months ended September 30, 2026, the Company granted 38,610 shares of common stock, 19,305 common shares each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two newly appointed non-employee directors. In addition, during the three and nine months ended September 30, 2026, the Company issued 7,349 and 14,795 common shares, respectively, to directors in lieu of cash compensation for service on the Board. During the three and nine months ended September 30, 2025, the Company issued 3,466 and 9,493 common shares, respectively, to a director in lieu of cash compensation for service on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 The Company may issue other awards to its employees and consultants under the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nine months ended September 30, 2026 is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298,458</w:t>
            </w: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102,478</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vested</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(305,913)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 / unit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120" w:firstLine="6"/>
        <w:spacing w:after="0" w:line="237" w:lineRule="auto"/>
        <w:tabs>
          <w:tab w:leader="none" w:pos="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vested and PSUs converted to common stock during the period. During the nine months ended September 30, 2026, 68,295 stock options vested. As of September 30, 2026, there were a total of 317,234 stock options exercisable.</w:t>
      </w:r>
    </w:p>
    <w:p>
      <w:pPr>
        <w:spacing w:after="0" w:line="3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nine months ended September 30, 2025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131445</wp:posOffset>
            </wp:positionV>
            <wp:extent cx="2948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3"/>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526,483</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110,257</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(68,777)</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vested</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(269,505)</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775,647</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719,407</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298,458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 /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9" w:lineRule="exact"/>
        <w:rPr>
          <w:sz w:val="20"/>
          <w:szCs w:val="20"/>
          <w:color w:val="auto"/>
        </w:rPr>
      </w:pPr>
    </w:p>
    <w:p>
      <w:pPr>
        <w:ind w:left="20" w:right="80" w:firstLine="6"/>
        <w:spacing w:after="0" w:line="237" w:lineRule="auto"/>
        <w:tabs>
          <w:tab w:leader="none" w:pos="2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and PSUs vested during the period. During the nine months ended September 30, 2025, 212,249 stock options vested. As of September 30, 2025, there were a total of 248,939 stock options exercisable.</w:t>
      </w:r>
    </w:p>
    <w:p>
      <w:pPr>
        <w:spacing w:after="0" w:line="2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C corporation and subject to U.S. federal, state, and local income taxes. The Company records income taxes through the use of an estimated annual effective tax rate and specific events that are discretely recognized as they occur. For the three and nine months ended September 30, 2026, the Company recorded income tax expense of $4.7 million and an income tax benefit of $49 thousand, respectively. For the three and nine months ended September 30, 2025, the Company recorded income tax expense of $4.8 million and $15.4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recorded a valuation allowance of $5.5 million against its deferred tax assets recorded in connection with capital losses realized on the sale of its equity investments. This valuation allowance resulted in an increase in deferred income tax expense for the three and nine months ended September 30,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end of each interim period, the Company applies an estimated annualized effective tax rate to the current period income or loss before income taxes, which can produce interim effective tax rate fluctuations. The Company’s effective income tax rate was 88.2% and 0.2% for the three and nine months ended September 30, 2026, respectively, which differs from the enacted statutory rate of 21% primarily due to the recognition of the valuation allowance. For the three and nine months ended September 30, 2025, the Company’s effective income tax rate was 24.7% and 23.8%, respectively, which differs from the enacted statutory rate of 21% primarily due to the impact of certain discrete items and state income taxes.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tax positions for which the statute of limitations remains open and believes that the material positions taken would more likely than not be sustained upon examination. Therefore, as of September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December 31, 2025, the Company had no unrecognized tax benefits and did not recognize any interest or penalties during those respective periods related to unrecognized tax benefits.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is comprised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2029</w:t>
            </w:r>
          </w:p>
        </w:tc>
        <w:tc>
          <w:tcPr>
            <w:tcW w:w="3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6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on senior notes</w:t>
            </w:r>
          </w:p>
        </w:tc>
        <w:tc>
          <w:tcPr>
            <w:tcW w:w="3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0" w:type="dxa"/>
            <w:vAlign w:val="bottom"/>
          </w:tcPr>
          <w:p>
            <w:pPr>
              <w:spacing w:after="0"/>
              <w:rPr>
                <w:sz w:val="1"/>
                <w:szCs w:val="1"/>
                <w:color w:val="auto"/>
              </w:rPr>
            </w:pPr>
          </w:p>
        </w:tc>
      </w:tr>
      <w:tr>
        <w:trPr>
          <w:trHeight w:val="26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3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385,332</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outstanding long-term debt</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6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424,327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367,832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the current portion of long-term debt reflects $35.0 million and $17.5 million, respectively, due on the Senior Notes over the twelve months following the reported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Granite Ridge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borrowing base is redetermined semiannually on or about April 1 and October 1 of each calendar year, and is subject to additional adjustments from time to time, including for asset sales, elimination or reduction of hedge positions and incurrence of other debt. As of September 30, 2026, the Company had a borrowing base of $375.0 million and elected commitments of $375.0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2026, in connection with the regularly scheduled October 1 redetermination, the borrowing base of the Credit Agreement was reaffirmed at $375.0 million and elected commitments reaffirmed at $375.0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outstanding borrowings of $130.0 million and $0.3 million of letters of credit issued and outstanding under the Credit Agreement, resulting in availability of $244.7 million. The Credit Agreement is guaranteed by the restricted subsidiaries of Granite Ridge and is secured by a first priority mortgage and security interest in substantially all of the Company’s and its restricted subsidiaries’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borrowing base utilized. Base rate loans bear interest at a rate per annum equal to the greatest of: (i) the U.S. prime rate as publicly announced from time to time by Bank of America, N.A.; (ii) the federal funds effective rate plus 50 basis points;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8"/>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SOFR rate for a one-month interest period plus 100 basis points; and (iv) 100 basis points plus, in the case of any base rate loan, an applicable margin ranging from 175 to 275 basis points, depending on the percentage of the borrowing base utilized.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25" w:lineRule="exact"/>
        <w:rPr>
          <w:sz w:val="20"/>
          <w:szCs w:val="20"/>
          <w:color w:val="auto"/>
        </w:rPr>
      </w:pPr>
    </w:p>
    <w:p>
      <w:pPr>
        <w:ind w:left="980" w:hanging="648"/>
        <w:spacing w:after="0" w:line="282"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any fiscal quarter,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(as defined in the Credit Agreement), commencing with the fiscal quarter ended June 30, 2026, of not less than (a) for each such fiscal quarter ending prior to December 31, 2026, 1.25 to 1.00 and (b) for each such fiscal quarter ending on or after December 31, 2026, 1.50 to 1.00.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 2026, the Company and its lenders entered into the Seventh Amendment to Credit Agreement, which amended the Credit Agreement to increase the pro forma net leverage ratio requirement for purposes of the restricted payment and debt redemption covenants to 1.75 to 1.00 (from 1.50 to 1.00) for the period between August 3, 2026 and January 1,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 Company was in compliance with all covenants required by the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Senior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5, 2025, the Company, as issuer, completed an issuance of $350.0 million aggregate principal amount of 8.875% senior unsecured notes at 96.0% of par with stated maturity on November 5, 2029 (the “2029 Senior Notes”) pursuant to a note purchase agreement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is due at the end of each quarter. In addition, the Company will repay quarterly 2.5% of the original principal amount of the notes issued on the closing date beginning on September 30, 2026. During the three months ended September 30, 2026, the Company made the first scheduled quarterly principal repayment of $8.8 million. If quarterly scheduled repayments are missed, the coupon increases to 11.875% and the Company is restricted from making any dividend payments until all delinquent scheduled repayments have been fulfilled. As of September 30, 2026, the Company had $35.0 million included in current liabilities in the condensed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2029 Senior Notes include certain covenants, which, among other things, requires the maintenance of (i) a net leverage ratio not greater than 3.25 to 1.00 and (ii) an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1.00, and the asset coverage ratio, after giving effect to such Restricted Payments, must be greater than or equal to 1.50 to 1.00. Under the 2029 Senior Notes, the Company must maintain a minimum hedging requirement included within the Senior Notes for oil and natural gas based on proved developed producing projected volumes for each commodity on a rolling 18-month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 Company was in compliance with all financial covenants required by the Note Purchase Agreement.</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dividends of $14.5 million, or $0.11 per share, and $43.5 million, or $0.33 per share during the three and nine months ended September 30, 2026, respectively. For the three and nine months ended September 30, 2025, the Company paid dividends of $14.4 million, or $0.11 per share, and $43.2 million, or $0.33 per share, respectively. Any payment of future dividends will be at the discretion of the Company’s Board of Directors.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2022,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paid the Manager an annual services fee of $10.0 million and reimbursed the Manager for certain Granite Ridge group costs related to the operation of the Company's assets (including for third party costs allocated or attributable to the assets of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10, 2025, the Company entered into Amendment No. 1 to the Management Services Agreement, which amended the Company's existing MSA with the Manager ("Amendment No. 1"). Amendment No. 1, among other things, (a) extended the initial term from April 30, 2028 to April 30, 2031 and (b) increased the Services Fee (as defined in the MSA) from $10.0 million to $11.75 million effective January 1, 2026, provided for annual CPI-based adjustments beginning January 1, 2027 and delegated to management the authority to increase the Services Fee up to a maximum total of $12.5 million. The MSA will automatically renew for additional consecutive one-year renewal terms until terminated in accordance with its terms. Upon any termination of the MSA, the Manager shall provide transition services for a period of up to 90 days.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service fees for the Company under the MSA were approximately $2.9 million and $8.8 million, respectively, and are included in general and administrative expenses within the accompanying condensed consolidated statements of operations. For the three and nine months ended September 30, 2025, service fees for the Company under the MSA were approximately $2.5 million and $7.5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2025, Granite Ridge Ventures, LLC, a Delaware limited liability company and wholly owned subsidiary of the Company, entered into a power capacity contract with a portfolio company of funds managed by affiliates of Grey Rock Investment Partners ("Conduit Bravo"). An unrelated third party entered into a transaction with Conduit Bravo on substantially similar terms and at a substantially similar time to this transaction.</w:t>
      </w:r>
    </w:p>
    <w:p>
      <w:pPr>
        <w:spacing w:after="0" w:line="172"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best interests, and the Company may have little or no ability to exercise influence over the operational decisions of its third-party operators.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Counterparties </w:t>
      </w:r>
      <w:r>
        <w:rPr>
          <w:rFonts w:ascii="Times New Roman" w:cs="Times New Roman" w:eastAsia="Times New Roman" w:hAnsi="Times New Roman"/>
          <w:sz w:val="18"/>
          <w:szCs w:val="18"/>
          <w:color w:val="auto"/>
        </w:rPr>
        <w:t>- The Company uses credit and other financial criteria to evaluate the creditworthiness of counterparties to its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The Company believes that all of its derivative counterparties are currently acceptable credit risks. All of the Company’s outstanding derivative instruments are covered by International Swap Dealers Association Master Agreements (“ISDAs”). All collar option contracts and swap derivatives entered into are with parties that are also lenders under the Company’s Credit Agreement. The Company’s obligations under the derivative instruments, with the exception of the Power Capacity Contract, are secured pursuant to the Credit Agreement, and no additional collateral has been posted by the Company.</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(loss) per share because certain of the Company’s unvested stock-based awards qualify as participating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diluted net income (loss) per share excludes contingently issuable shares related to certain market-based equity awards as the required</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price conditions had not been satisfied as of the end of the reporting period. These awards represent 936,728 shares of common stock that may be issued if specified market price targets are achieved. Because the market conditions were not met as of September 30, 2026, the shares were not included in the diluted weighted average share count. If the market conditions are satisfied in future periods, these shares could have a dilutive effect on earnings per share.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basic and diluted earnings per share computations for the three and nine months ended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49,416</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49,172</w:t>
            </w: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2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attributable to common stockholders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130,426</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performance stock units</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3"/>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stock options</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9"/>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20" w:right="240" w:firstLine="6"/>
        <w:spacing w:after="0" w:line="266" w:lineRule="auto"/>
        <w:tabs>
          <w:tab w:leader="none" w:pos="2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PSUs and stock options, which were not included in the computation of diluted earnings per share, as inclusion of these items would be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antidilutive common shares: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Antidilutive performance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63,219</w:t>
            </w:r>
          </w:p>
        </w:tc>
      </w:tr>
      <w:tr>
        <w:trPr>
          <w:trHeight w:val="27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400,936</w:t>
            </w:r>
          </w:p>
        </w:tc>
        <w:tc>
          <w:tcPr>
            <w:tcW w:w="8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498,507</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377,663</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558,160</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508,106</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557,040</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471,745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621,379</w:t>
            </w:r>
          </w:p>
        </w:tc>
      </w:tr>
      <w:tr>
        <w:trPr>
          <w:trHeight w:val="27"/>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declared a regular quarterly cash dividend of $0.11 for the fourth quarter of 2026. The dividend will be paid on December 14, 2026 to stockholders of record as of November 27,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2026, the Company’s Board of Directors approved a share repurchase program. The program permits the repurchase of up to $35.0 million of the Company’s common stock through December 31, 2027. The shares may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repurchased from time to time in open market transactions, privately negotiated transactions, pursuant to trading plans intended to satisfy the requirements of Rule 10b5-1 under the Exchange Act, repurchase agreements structured to comply with Rule 10b-18 under the Exchange Act, or by any combination of such methods. The timing, as well as the number and value of shares repurchased under the program, will be determined by the Company at its discretion and will depend on a variety of factors, including the market price of the Company’s common stock, general market and economic conditions, available liquidity, compliance with the Company’s debt and other agreements, applicable legal requirements, and other considerations. The Company is not obligated to purchase any shares under the share repurchase program, and the program may be suspended or discontinued at any time without prior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2026, in connection with the regularly scheduled October 1 redetermination, the borrowing base of the Credit Agreement was reaffirmed at $375.0 million and elected commitments reaffirmed at $375.0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Commodity Derivative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2026, the Company entered into the following oil derivative contracts to hedge additional amounts of estimated future production.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Q1 2027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Q2 2027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Collars (oil)</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($/Bbl)</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($/Bbl)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0" w:type="dxa"/>
            <w:vAlign w:val="bottom"/>
          </w:tcPr>
          <w:p>
            <w:pPr>
              <w:spacing w:after="0"/>
              <w:rPr>
                <w:sz w:val="1"/>
                <w:szCs w:val="1"/>
                <w:color w:val="auto"/>
              </w:rPr>
            </w:pPr>
          </w:p>
        </w:tc>
      </w:tr>
      <w:tr>
        <w:trPr>
          <w:trHeight w:val="52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Supplementary Data</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Capitalized Costs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1,788,292</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9"/>
              </w:rPr>
              <w:t>(1,001,038)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(857,832)</w:t>
            </w:r>
          </w:p>
        </w:tc>
        <w:tc>
          <w:tcPr>
            <w:tcW w:w="0" w:type="dxa"/>
            <w:vAlign w:val="bottom"/>
          </w:tcPr>
          <w:p>
            <w:pPr>
              <w:spacing w:after="0"/>
              <w:rPr>
                <w:sz w:val="1"/>
                <w:szCs w:val="1"/>
                <w:color w:val="auto"/>
              </w:rPr>
            </w:pPr>
          </w:p>
        </w:tc>
      </w:tr>
      <w:tr>
        <w:trPr>
          <w:trHeight w:val="28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capitalized costs for oil and natural gas properties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Costs Incurred for Oil and Natural Gas Producing Activities</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92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costs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217,285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212,593</w:t>
            </w:r>
          </w:p>
        </w:tc>
        <w:tc>
          <w:tcPr>
            <w:tcW w:w="0" w:type="dxa"/>
            <w:vAlign w:val="bottom"/>
          </w:tcPr>
          <w:p>
            <w:pPr>
              <w:spacing w:after="0"/>
              <w:rPr>
                <w:sz w:val="1"/>
                <w:szCs w:val="1"/>
                <w:color w:val="auto"/>
              </w:rPr>
            </w:pPr>
          </w:p>
        </w:tc>
      </w:tr>
      <w:tr>
        <w:trPr>
          <w:trHeight w:val="257"/>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costs incurred for oil and natural gas properties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273,462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w:t>
      </w:r>
    </w:p>
    <w:p>
      <w:pPr>
        <w:spacing w:after="0" w:line="11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The following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Also, please read the risk factors and other cautionary statements described under “Part I, Item 1A. Risk Factors” in our Annual Report on Form 10-K for the year ended December 31, 2025 (the "2025 Form 10-K") and elsewhere in this Report. We assume no obligation to update any of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except as required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Factors That Affect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cash flows from operations and future growth depend substantially upon:</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success of drilling and production activities by our operating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prices and the supply and demand for oil and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quantity of oil and natural gas production from the wells in which we participate;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fair value of the derivative instruments we use to reduce our exposure to fluctuations in the price of oil and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continue to identify and acquire high-quality acreage and drilling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operating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price of oil and natural gas can vary depending on the market in which it is sold and the means of transportation used to transport the oil and natural gas to market.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oil price differential to the NYMEX benchmark price during the three months ended September 30, 2026 and 2025 was a discount of $(2.71) per barrel and $(4.16) per barrel, respectively. For the nine months ended September 30,</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our oil price differential to the NYMEX benchmark price was a discount of $(2.38) per barrel and $(3.42) per barrel, respectively.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natural gas price differential to the average NYMEX price during the three months ended September 30, 2026 and 2025 was a premium of $0.59 per Mcf and a discount of $(0.64) per Mcf, respectively. For the nine months ended September 30, 2026 and 2025, our natural gas price differential to the average NYMEX price was a discount of $(1.10) per Mcf and $(0.59) per Mcf,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Historically, commodity prices have been volatile, and we expect that volatility to continue in the future. 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Prices for various quantities of oil and natural gas that we produce significantly impact our revenues and cash flows. The following table lists average NYMEX spot prices for oil and natural gas for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5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Average NYMEX Prices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63"/>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(per Bbl)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70"/>
        </w:trPr>
        <w:tc>
          <w:tcPr>
            <w:tcW w:w="5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(per Mcf)</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5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Based on average NYMEX spot prices.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the average NYMEX oil pricing was $87.12 per barrel of oil, or 32% higher than the average NYMEX price per barrel for the three months ended September 30, 2025. Our settled derivatives decreased our realized oil price per barrel by $9.15 for the three months ended September 30, 2026 and increased our realized oil price per barrel by $0.02 for the three months ended September 30, 2025. For the three months ended September 30, 2026, our average realized oil price per barrel after reflecting settled derivatives was $75.26 compared to $61.64 for the three months ended September 30, 2025. For the nine months ended September 30, 2026, the average NYMEX oil pricing was $85.25 per barrel of oil, or 27% higher than the average NYMEX price per barrel for the nine months ended September 30, 2025. Our settled derivatives decreased our realized oil price per barrel by $10.50 for the nine months ended September 30, 2026 and increased our realized oil price per barrel by $0.16 for the nine months ended September 30, 2025. For the nine months ended September 30, 2026, our average realized oil price per barrel after reflecting settled derivatives was $72.37 compared to $64.05 for the nine months ended September 30, 2025.</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the average NYMEX natural gas pricing was $2.87 per Mcf, or 5% lower than the average NYMEX price per Mcf for the three months ended September 30, 2025. Our settled derivatives decreased our realized natural gas price per Mcf by $0.57 for the three months ended September 30, 2026 and increased our realized natural gas price per Mcf by $0.20 for the three months ended September 30, 2025. For the three months ended September 30, 2026, our average realized natural gas price per Mcf after reflecting settled derivatives was $2.89 compared to $2.59 for the three months ended September 30, 2025. For the nine months ended September 30, 2026, the average NYMEX natural gas pricing was $3.49 per Mcf, or 1% higher than the average NYMEX price per Mcf for the nine months ended September 30, 2025. Our settled derivatives decreased our realized natural gas price per Mcf by $0.22 for the nine months ended September 30, 2026 and increased our realized natural gas price per Mcf by $0.08 for the nine months ended September 30, 2025. For the nine months ended September 30, 2026, our average realized natural gas price per Mcf after reflecting settled derivatives was $2.17 compared to $2.94 for the nine months ended September 30, 2025.</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production and operating data for the periods indicated. Because of normal production declines, increased or decreased drilling activities, fluctuations in commodity prices and the effects of</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divestitures, the historical information presented below should not be interpreted as being indicative of future results.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(in thousands):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sales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147,219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91,960</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390,339</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273,269</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Natural gas and related product sales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71,552</w:t>
            </w:r>
          </w:p>
        </w:tc>
      </w:tr>
      <w:tr>
        <w:trPr>
          <w:trHeight w:val="200"/>
        </w:trPr>
        <w:tc>
          <w:tcPr>
            <w:tcW w:w="5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177,205</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112,671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454,742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344,821</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(MBbl)</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w:t>
            </w: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(MMcf)</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24,994</w:t>
            </w: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w:t>
            </w: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Production:</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(Bbl)</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15,666</w:t>
            </w: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(Mcf)</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91,554</w:t>
            </w: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(Boe)</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30,925</w:t>
            </w:r>
          </w:p>
        </w:tc>
      </w:tr>
      <w:tr>
        <w:trPr>
          <w:trHeight w:val="216"/>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(per Bbl)</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oil derivatives on average price (per Bbl)</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2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net of settled oil derivatives (per Bbl)</w:t>
            </w:r>
            <w:r>
              <w:rPr>
                <w:rFonts w:ascii="Times New Roman" w:cs="Times New Roman" w:eastAsia="Times New Roman" w:hAnsi="Times New Roman"/>
                <w:sz w:val="18"/>
                <w:szCs w:val="18"/>
                <w:color w:val="auto"/>
                <w:vertAlign w:val="superscript"/>
              </w:rPr>
              <w:t>(2)</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r>
      <w:tr>
        <w:trPr>
          <w:trHeight w:val="257"/>
        </w:trPr>
        <w:tc>
          <w:tcPr>
            <w:tcW w:w="5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6"/>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sales (per Mcf)</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natural gas derivatives on average price (per Mcf)</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r>
      <w:tr>
        <w:trPr>
          <w:trHeight w:val="22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sales net of settled natural gas derivatives (per Mcf)</w:t>
            </w:r>
            <w:r>
              <w:rPr>
                <w:rFonts w:ascii="Times New Roman" w:cs="Times New Roman" w:eastAsia="Times New Roman" w:hAnsi="Times New Roman"/>
                <w:sz w:val="18"/>
                <w:szCs w:val="18"/>
                <w:color w:val="auto"/>
                <w:vertAlign w:val="superscript"/>
              </w:rPr>
              <w:t>(2)</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270"/>
        </w:trPr>
        <w:tc>
          <w:tcPr>
            <w:tcW w:w="50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06"/>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price on a Boe basis excluding settled commodity derivatives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commodity derivatives on average price (per Boe)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2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Realized price on a Boe basis including settled commodity derivatives</w:t>
            </w:r>
            <w:r>
              <w:rPr>
                <w:rFonts w:ascii="Times New Roman" w:cs="Times New Roman" w:eastAsia="Times New Roman" w:hAnsi="Times New Roman"/>
                <w:sz w:val="18"/>
                <w:szCs w:val="18"/>
                <w:color w:val="auto"/>
                <w:vertAlign w:val="superscript"/>
              </w:rPr>
              <w:t>(2)</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w:t>
            </w:r>
          </w:p>
        </w:tc>
      </w:tr>
      <w:tr>
        <w:trPr>
          <w:trHeight w:val="257"/>
        </w:trPr>
        <w:tc>
          <w:tcPr>
            <w:tcW w:w="5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 (in thousands):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59,954</w:t>
            </w: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21,356</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157,804</w:t>
            </w: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22,968</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(per Boe):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0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216"/>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Producing Wells at Period-End:</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235.27</w:t>
            </w:r>
          </w:p>
        </w:tc>
      </w:tr>
      <w:tr>
        <w:trPr>
          <w:trHeight w:val="20"/>
        </w:trPr>
        <w:tc>
          <w:tcPr>
            <w:tcW w:w="5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is converted to Boe using the ratio of one barrel of oil to six Mcf of natural gas.</w:t>
      </w:r>
    </w:p>
    <w:p>
      <w:pPr>
        <w:spacing w:after="0" w:line="27" w:lineRule="exact"/>
        <w:rPr>
          <w:rFonts w:ascii="Times New Roman" w:cs="Times New Roman" w:eastAsia="Times New Roman" w:hAnsi="Times New Roman"/>
          <w:sz w:val="14"/>
          <w:szCs w:val="14"/>
          <w:color w:val="auto"/>
        </w:rPr>
      </w:pPr>
    </w:p>
    <w:p>
      <w:pPr>
        <w:jc w:val="both"/>
        <w:ind w:left="360" w:right="20" w:hanging="334"/>
        <w:spacing w:after="0" w:line="264" w:lineRule="auto"/>
        <w:tabs>
          <w:tab w:leader="none" w:pos="3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Related Product Sales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revenues vary from year to year primarily due to changes in realized commodity prices and production volumes. Our oil and natural gas sales for the three months ended September 30, 2026 increased 57% from the same period in 2025. Oil revenues for the three months ended September 30, 2026 increased by 60% compared to the same period in 2025, driven by a 17% increase in production and a 37% increase in realized prices, excluding the effect of settled commodity derivatives. Natural gas revenues increased by 45% for the three months ended September 30, 2026 compared to 2025, driven by a 45% increase in realized natural gas prices, excluding the effect of settled commodity derivatives.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oil and natural gas sales for the nine months ended September 30, 2026 increased 32% from the same period in 2025. Oil revenues increased by 43% compared to the same period in 2025, driven by a 10% increase in production and a 30% increase in realized prices, excluding the effect of settled commodity derivatives. Natural gas revenues decreased by 10% compared to the same period in 2025 as a result of a 16% decrease in realized natural gas prices, excluding the effect of settled commodity derivatives, partially offset by an 8% increase in production.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Production from oil and gas properties increased as a result of drilling success and the acquisition of additional net revenue interests.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operating expenses were $30.1 million ($9.43 per Boe) for the three months ended September 30, 2026, an increase of 27% from $23.6 million</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($8.03 per Boe) during the same period in 2025. The increase was primarily due to additional wells successfully drilled and completed, increased saltwater disposal costs as a result of higher water cuts and flowback operations, surface equipment rentals, and contract labor.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operating expenses were $89.7 million ($9.74 per Boe) for the nine months ended September 30, 2026, an increase of 50% from $60.0 million ($7.10 per Boe) during the same period in 2025. The increase was primarily due to acquisitions and additional wells successfully drilled and completed, increased saltwater disposal costs as a result of higher water cuts and flowback operations, surface equipment rentals, contract labor, and recognition of minimum volume commitment delinquencies.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pay production taxes based on realized oil and natural gas sales. Production taxes were $8.3 million ($2.60 per Boe) for the three months ended September 30, 2026 compared to $5.4 million ($1.83 per Boe) during the same period in 2025. As a percentage of oil and natural gas sales, our production taxes were 5% during both the three months ended September 30, 2026 and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Production taxes were $21.0 million ($2.28 per Boe) for the nine months ended September 30, 2026 compared to $17.3 million ($2.05 per Boe) during the same period in 2025. As a percentage of oil and natural gas sales, our production taxes were 5% during both the nine months ended September 30, 2026 and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spacing w:after="0" w:line="20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Ad valorem taxes were $2.0 million and $6.8 million for the three and nine months ended September 30, 2026, respectively, compared to $1.2 million and $4.1 million during the same periods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Depletion and accretion was $64.2 million ($20.15 per Boe) for the three months ended September 30, 2026, an increase of 15% from $55.9 million ($19.05 per Boe) during the same period in 2025. The increase in depletion and accretion expense was primarily due to increased production.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Depletion and accretion was $171.9 million ($18.67 per Boe) for the nine months ended September 30, 2026, an increase of 9% from $157.8 million ($18.69 per Boe) during the same period in 2025. The increase in depletion and accretion expense was primarily due to increased production.</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Unproved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September 30, 2026, the Company recorded no unproved property impairment. For the nine months ended September 30,</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2026, the Company recognized impairment expense of $20.3 million on unproved properties in the Permian Basin as a result of changes in operator development plans and reassessment of the economic viability of certain acreage in the Permian Basin resulting from unfavorable drilling results and further geologic and reservoir analysis of the acreage. No unproved property impairment was recorded for the three and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components of our general and administrative expenses for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95"/>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general and administrative expenses were $10.2 million ($3.21 per Boe) for the three months ended September 30, 2026, an increase of 46% from $7.0 million ($2.38 per Boe) during the same period in 2025. The increase was primarily related to increased legal fees, stock-based compensation, fees paid to operated partners under joint development agreements and service fees under the Management Services Agreement with Grey Rock Administration, LLC.</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general and administrative expenses were $28.5 million ($3.09 per Boe) for the nine months ended September 30, 2026, an increase of 24% from $23.0 million ($2.72 per Boe) during the same period in 2025. The increase was primarily related to increased legal fees, stock-based compensation, fees paid to operated partners under joint development agreements and service fees under the Management Services Agreement with Grey Rock Administration,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Derivatives – Commodity Derivatives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gain (loss) on derivatives for the three and nine months ended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4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(payments on) commodity derivatives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cash receipts from (payments on) commodity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(55,485)</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(57,323)</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capacity contract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unrealized gain (loss) on commodity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 (loss) on derivatives - commodity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(111,733)</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was $11.9 million for the three months ended September 30, 2026 compared to $6.1 million for the three months ended September 30, 2025. The increase in interest expense during the three months ended September 30, 2026 as compared to 2025 was primarily due to the issuance of $350.0 million aggregate principal amount of 8.875% senior unsecured notes in November 2025 that were outstanding during the three months ended September 30, 2026.</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was $33.3 million for the nine months ended September 30, 2026 compared to $17.0 million for the nine months ended September 30, 2025. The increase in interest expense during the nine months ended September 30, 2026 as compared to 2025 was primarily due to the to the issuance of $350.0 million aggregate principal amount of 8.875% senior unsecured notes in November 2025 that were outstanding during the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Equity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a gain on equity investments of $4.5 million for the nine months ended September 30, 2026. The gain is a result of an unrealized gain of $6.7 million from the change in fair value of the common stock held during the first quarter of 2026 offset by a $2.2 million realized loss on sale of common stock during the second quarter of 2026. As of September 30, 2026, the Company held no equity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a loss on equity investments of $15.2 million for the nine months ended September 30, 2025. The loss is a result of a $10.5 million realized loss on sale of common stock and an unrealized loss of $4.7 million from the change in fair value of common stock held. For the three months ended September 30, 2025, we recorded an unrealized gain of $0.5 million from the change in fair value of the common stock held.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$4.7 million and income tax benefit $49.0 thousand for the three and nine months ended September 30, 2026. The Company recorded a valuation allowance of $5.5 million, recognized in deferred income tax expense for the three and nine months ended September 30, 2026, against the deferred tax assets related to capital losses realized on the sale of its equity investments. The Company’s effective income tax rate for the three and nine months ended September 30, 2026 differs from the statutory rate primarily due to the recognition of the valuation allowance.</w:t>
      </w:r>
    </w:p>
    <w:p>
      <w:pPr>
        <w:spacing w:after="0" w:line="185"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recorded income tax expense of $4.8 million and $15.4 million for the three and nine months ended September 30, 2025</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Company’s effective income tax rate for the three and nine months ended September 30, 2025 differs from the statutory rate primarily due to the impact of certain discrete items and state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main sources of liquidity and capital resources as of the periods covered by this Report have been internally generated cash flow from operations, credit facility borrowings, and the issuance of senior notes. Our primary use of capital has been for the development and acquisition of oil and natural gas properties. We continually monitor potential capital sources for opportunities to enhance liquidity or otherwise improve our financial position.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we had $341.3 million of principal debt outstanding on 8.875% senior unsecured notes and $130.0 million of debt outstanding under our senior secured revolving credit agreement. We had $287.4 million of liquidity as of September 30, 2026, consisting of $244.7 million of committed borrowing availability under the Credit Agreement and $42.7 million of cash on hand.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our cash on hand, cash flow from operations, senior unsecured notes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recent capital commitments have been to fund the development and acquisition of oil and natural gas properties. We expect to fund our near-term capital requirements and working capital needs with cash on hand, cash flows from</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and available borrowing capacity under our Credit Agreement. Our capital expenditures could be curtailed if our cash flows decline from expected levels.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paid dividends of $14.5 million, or $0.11 per share, and $43.5 million, or $0.33 per share during the three and nine months ended September 30, 2026, respectively. For the three and nine months ended September 30, 2025, the Company paid dividends of $14.4 million, or $0.11 per share, and $43.2 million, or $0.33 per share,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payment of future dividends will be at the discretion of the Company’s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2026, our Board of Directors approved a share repurchase program. The program permits the repurchase of up to $35.0 million of the Company’s common stock through December 31, 2027. The shares may be repurchased from time to time in open market transactions, privately negotiated transactions, pursuant to trading plans intended to satisfy the requirements of Rule 10b5-1 under the Exchange Act, repurchase agreements structured to comply with Rule 10b-18 under the Exchange Act, or by any combination of such methods. The timing, as well as the number and value of shares repurchased under the program, will be determined by the Company at its discretion and will depend on a variety of factors, including the market price of the Company’s common stock, general market and economic conditions, available liquidity, compliance with the Company’s debt and other agreements, applicable legal requirements, and other considerations. The Company is not obligated to purchase any shares under the share repurchase program, and the program may be suspended or discontinued at any time without prior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changes in cash for the nine months ended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(280,787)</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51,286</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$30.3 million decrease in operating cash flows during the nine months ended September 30, 2026 as compared to the same period in 2025 was primarily due to realized loss on derivatives of $55.5 million, increase in lease operating expenses of $29.7 million, an increase in interest expense, net of $16.3 million, and a $28.8 million decrease in changes in operating assets and liabilities. These reductions in cash flows from operating activities were partially offset by an increase in oil and natural gas sales of $109.9 million during the nine months ended September 30, 2026 as compared to the same period in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included a reduction of $26.2 million and a benefit of $2.6 million for the nine months ended September 30, 2026 and 2025, respectively, associated with changes in working capital items. Changes in working capital items adjust for the timing of receipts and payments of actual cash.</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For the nine months ended September 30, 2026, our net cash used in investing activities was $201.4 million, which consisted primarily of $205.5 million of capital expenditures for exploration and development of oil and natural gas properties and $43.5 million of acquisitions of oil and natural gas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properties, partially offset by $15.4 million of proceeds from the sale of equity investments and $30.3 million of proceeds from the sale of oil and natural gas properties.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our net cash used in investing activities was $280.8 million, which consisted primarily of $233.1 million of capital expenditures for development of oil and natural gas properties and $57.0 million of acquisitions of oil and natural gas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our net cash provided by financing activities was $27.6 million, primarily due to $80.0 million of net borrowings under our Credit Agreement, partially offset by $43.5 million of dividends paid on our common stock and the $8.8 million principal repayment on the Senior Notes.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our net cash provided by financing activities was $51.3 million, primarily due to $95.0 million of net borrowings under our Credit Agreement, partially offset by $43.2 million of dividends paid on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Granite Ridge Credit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outstanding borrowings of $130.0 million and $0.3 million of letters of credit issued and outstanding under the Credit Agreement, resulting in availability of $244.7 million. The Credit Agreement is guaranteed by the restricted subsidiaries of Granite Ridge and is secured by a first priority mortgage and security interest in substantially all of the Company’s and its restricted subsidiaries’ assets.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2026, in connection with the regularly scheduled October 1 redetermination, the borrowing base of the Credit Agreement was reaffirmed at $375.0 million and elected commitments reaffirmed at $375.0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borrowing base utilized. Base rate loans bear interest at a rate per annum equal to the greatest of: (i) the U.S. prime rate as publicly announced from time to time by Bank of America, N.A.; (ii) the federal funds effective rate plus 50 basis points; (iii) the adjusted SOFR rate for a one-month interest period plus 100 basis points; and (iv) 100 basis points plus, in the case of any base rate loan, an applicable margin ranging from 175 to 275 basis points, depending on the percentage of the borrowing base utilized.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25" w:lineRule="exact"/>
        <w:rPr>
          <w:sz w:val="20"/>
          <w:szCs w:val="20"/>
          <w:color w:val="auto"/>
        </w:rPr>
      </w:pPr>
    </w:p>
    <w:p>
      <w:pPr>
        <w:ind w:left="980" w:hanging="648"/>
        <w:spacing w:after="0" w:line="282"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any fiscal quarter,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(as defined in the Credit Agreement), which commenced with the fiscal quarter ended June 30, 2026, of not less than</w:t>
      </w:r>
    </w:p>
    <w:p>
      <w:pPr>
        <w:spacing w:after="0" w:line="27" w:lineRule="exact"/>
        <w:rPr>
          <w:rFonts w:ascii="Times New Roman" w:cs="Times New Roman" w:eastAsia="Times New Roman" w:hAnsi="Times New Roman"/>
          <w:sz w:val="18"/>
          <w:szCs w:val="18"/>
          <w:color w:val="auto"/>
        </w:rPr>
      </w:pPr>
    </w:p>
    <w:p>
      <w:pPr>
        <w:ind w:left="980"/>
        <w:spacing w:after="0" w:line="260" w:lineRule="auto"/>
        <w:tabs>
          <w:tab w:leader="none" w:pos="12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such fiscal quarter ending prior to December 31, 2026, 1.25 to 1.00 and (b) for each such fiscal quarter ending on or after December 31, 2026, 1.50 to 1.00.</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 2026, the Company and its lenders entered into the Seventh Amendment to Credit Agreement, which amended the Credit Agreement to increase the pro forma net leverage ratio requirement for purposes of the restricted payment and debt redemption covenants to 1.75 to 1.00 (from 1.50 to 1.00) for the period between August 3, 2026 and January 1, 2027.</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the Company was in compliance with all covenants required by the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5, 2025, the Company, as issuer, completed an issuance of $350.0 million aggregate principal amount of 8.875% senior unsecured notes at 96.0% of par with stated maturity on November 5, 2029 pursuant to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Interest is due at the end of each quarter. In addition, the Company will repay quarterly 2.5% of the original principal amount of the notes issued on the closing date. These quarterly repayments began on September 30, 2026. During the three months ended September 30, 2026, the Company made the first scheduled quarterly principal repayment of $8.8 million. If quarterly scheduled repayments are missed, the coupon increases to 11.875% and the Company is restricted from making any dividend payments until all delinquent scheduled repayments have been fulfilled. As of September 30, 2026, the Company had $35.0 million included in current liabilities in the condensed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2029 Senior Notes include certain covenants, which, among other things, requires the maintenance of (i) a net leverage ratio not greater than 3.25 to 1.00 and (ii) an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Under the 2029 Senior Notes, the Company must maintain a minimum hedging requirement included within the Senior Notes for oil and natural gas based on our proved developed producing projected volumes for each commodity on a rolling 18-month basis.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the Company was in compliance with all financial covenants required by the Note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 Planned Capital Expenditures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and Other Obligations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contractual obligations include long-term debt, cash interest expense on debt, derivative liabilities, asset retirement obligations, joint development agreements, and an annual service fee to the Manager. Since December 31, 2025, there have been no material changes in our contractual obligations, other than (i) the $71.2 million increase in total debt due to $80.0 million of borrowings under the Credit Agreement partially offset by $8.8 million of repayments of principal on the Senior Notes and (ii) increase in contractually obligated fees under our joint development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joint development agreements that outline the terms for the joint evaluation, acquisition, exploration, development, and production of hydrocarbons from jointly owned interests subject to such agreements. These agreements designate a third party as the operator of all jointly owned interests in the applicable development area, while Granite Ridge retains the right to manage and control acquisition costs and strategy, development costs, timing and rig schedules, well design and other development operations in exchange for a fee. The aggregate minimum financial commitment amount over the noncancelable term of these joint development agreements is $10.5 million, which is due over the next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Capital Expenditures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2026, we are budgeting approximately $345 million to $385 million in total planned capital expenditures, including approximately $45 million to $55 million of acquisitions of oil and natural gas properties. Our costs incurred on oil and natural gas properties, excluding acquisitions, during the three months ended September 30, 2026 and 2025 totaled $90.8 million and $64.0 million, respectively, and $227.6 million and $212.6 million during the nine months ended September 30, 2026 and 2025, respectively. Our capital expenditures for the nine months ended September 30, 2026 were primarily funded with cash flows from operations and borrowings under the Credit Agreement. We expect to fund planned capital expenditures with cash generated from operations and, if required, borrowings under our Credit Agreement.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expenditures for acquisitions of proved and unproved properties for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0" w:type="dxa"/>
            <w:vAlign w:val="bottom"/>
          </w:tcPr>
          <w:p>
            <w:pPr>
              <w:spacing w:after="0"/>
              <w:rPr>
                <w:sz w:val="1"/>
                <w:szCs w:val="1"/>
                <w:color w:val="auto"/>
              </w:rPr>
            </w:pPr>
          </w:p>
        </w:tc>
      </w:tr>
      <w:tr>
        <w:trPr>
          <w:trHeight w:val="257"/>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acquisition costs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Our Cash Obligations for the Next Twelve Months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our Credit Agreement and our positive cash flows from operations, we believe we will have sufficient capital to meet our drilling commitments, expected general and administrative expenses, and other cash needs for the next twelve</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Pricing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nine months ended September 30, 2026. See our disclosure of critical accounting policies in “Item 7. Management’s Discussion and Analysis of Financial Condition and Results of Operations” and “Item 8. Financial Statements and Supplementary Data” of our 2025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discussion of recent accounting pronouncements, see Note 2 of the Notes to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w:t>
      </w:r>
    </w:p>
    <w:p>
      <w:pPr>
        <w:spacing w:after="0" w:line="200" w:lineRule="exact"/>
        <w:rPr>
          <w:sz w:val="20"/>
          <w:szCs w:val="20"/>
          <w:color w:val="auto"/>
        </w:rPr>
      </w:pPr>
    </w:p>
    <w:p>
      <w:pPr>
        <w:spacing w:after="0" w:line="37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arrangements are recorded at fair value and thus changes to the future commodity prices will have an impact on our earnings. At September 30, 2026, a 10% increase in average commodity prices would have decreased the fair value of our collar option and swap commodity derivatives by $29.6 million. We may incur significant unrealized losses in the future from our use of derivative financial instruments to the extent market prices increase and our derivatives contracts remain in place.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2026, our exposure to interest rate changes related primarily to the borrowings under the Credit Agreement as the 2029 Senior Notes bear a fixed interest rate. The interest we pay on these borrowings is set periodically based upon market rates. We had total indebtedness of $130.0 million outstanding under our Credit Agreement at September 30, 2026. The impact of a 100 basis point increase in interest rates on this amount of debt would result in increased annual interest expense of approximately $1.3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2026, our disclosure controls and procedures were effective at a level of reasonable assurance.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third quarter of 2026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during the three months ended September 30, 2026. In the future, the Company may be subject from time to time to litigation claims and governmental and regulatory proceedings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from those described in our 2025 Form 10-K.</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purchase all the shares authorized under our share repurchase program or that such program will enhance the long-term value of our share price.</w:t>
      </w:r>
    </w:p>
    <w:p>
      <w:pPr>
        <w:spacing w:after="0" w:line="15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November 4, 2026, our Board of Directors approved a share repurchase program. The program permits the repurchase of up to $35.0 million of the Company’s common stock through December 31, 2027. However, there is no obligation for us to continue to repurchase or to repurchase any specific dollar amount of shares, and the program may be suspended or discontinued at any time without prior notice. The timing, as well as the number and value of shares repurchased under the program, will be determined by the Company at its discretion and will depend on a variety of factors, including the market price of our common stock, general market and economic conditions, available liquidity, compliance with the Company’s debt and other agreements, applicable legal requirements, and other considerations. The share repurchase program could affect the price of our stock and increase volatility in the market. We cannot guarantee that we will purchase all of the shares authorized under the share repurchase program or that such program will enhance the long-term value of our share price. In addition, repurchase regulations and taxes may add additional payment burden to the Company from our share repurchase program. In the past, there have been proposals to increase the amount of the U.S. federal stock repurchase excise tax from 1% to 4%; however, it is unclear whether such a change in the amount of the excise tax will be enacted and, if enacted, how soon any such change could take effect.</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no longer a “controlled company” within the meaning of the New York Stock Exchange rules. However, we may continue to rely on exemptions from certain corporate governance requirements during a one-year transition period.</w:t>
      </w:r>
    </w:p>
    <w:p>
      <w:pPr>
        <w:spacing w:after="0" w:line="15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a result of a distribution of shares of our common stock by affiliates of Grey Rock Investment Partners to their respective limited partners on August 19, 2026, Grey Rock Investment Partners and its affiliates no longer hold a majority of the voting power of our outstanding common stock, and we are no longer a “controlled company” within the meaning of the rules of the New York Stock Exchange (the “NYSE”). Following the appointment of John Cocke and Jonathan Adams as independent directors on August 19, 2026, our Board of Directors is composed of a majority of independent directors. However, even though we are no longer a “controlled company,” during a one-year transition period permitted by NYSE rules, we intend to rely on an exemption from the requirements that our Compensation Committee and our Nominating and Governance Committee be composed entirely of independent directors. Accordingly, during the transition period, our stockholders may not have the same protections afforded to stockholders of companies that are subject to all of the corporate governance requirements of the NYSE.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share repurchase activity during the three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adopted or terminated (i) any contract, instructions or written plan for the purchase or sale of securities of the Company intended to satisfy the affirmative defense conditions of Rule 10b5-1(c) and/or (ii) any written arrangement for the purchase or sale of securities of the Company that meets the definition of a non-Rule 10b5-1 trading arrangement as defined in Item 408(c).</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9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857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6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6214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61" w:lineRule="exact"/>
        <w:rPr>
          <w:sz w:val="20"/>
          <w:szCs w:val="20"/>
          <w:color w:val="auto"/>
        </w:rPr>
      </w:pPr>
    </w:p>
    <w:p>
      <w:pPr>
        <w:ind w:right="60"/>
        <w:spacing w:after="0" w:line="237"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Plan of Conversion (incorporated by reference to Exhibit 2.1 to the Company’s Current Report on Form 8-K12B filed with the SEC 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August 6, 2026).</w:t>
        </w:r>
      </w:hyperlink>
    </w:p>
    <w:p>
      <w:pPr>
        <w:spacing w:after="0" w:line="24" w:lineRule="exact"/>
        <w:rPr>
          <w:sz w:val="20"/>
          <w:szCs w:val="20"/>
          <w:color w:val="auto"/>
        </w:rPr>
      </w:pPr>
    </w:p>
    <w:p>
      <w:pPr>
        <w:sectPr>
          <w:pgSz w:w="11900" w:h="16838" w:orient="portrait"/>
          <w:cols w:equalWidth="0" w:num="2">
            <w:col w:w="1220" w:space="260"/>
            <w:col w:w="9760"/>
          </w:cols>
          <w:pgMar w:left="320" w:top="121"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3.1</w:t>
            </w:r>
          </w:p>
        </w:tc>
        <w:tc>
          <w:tcPr>
            <w:tcW w:w="9740" w:type="dxa"/>
            <w:vAlign w:val="bottom"/>
            <w:gridSpan w:val="17"/>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Formation of Granite Ridge Resources, Inc. (incorporated by reference to Exhibit 3.1 to the Company’s Current Report</w:t>
              </w:r>
            </w:hyperlink>
          </w:p>
        </w:tc>
      </w:tr>
      <w:tr>
        <w:trPr>
          <w:trHeight w:val="183"/>
        </w:trPr>
        <w:tc>
          <w:tcPr>
            <w:tcW w:w="1180" w:type="dxa"/>
            <w:vAlign w:val="bottom"/>
          </w:tcPr>
          <w:p>
            <w:pPr>
              <w:spacing w:after="0"/>
              <w:rPr>
                <w:sz w:val="15"/>
                <w:szCs w:val="15"/>
                <w:color w:val="auto"/>
              </w:rPr>
            </w:pPr>
          </w:p>
        </w:tc>
        <w:tc>
          <w:tcPr>
            <w:tcW w:w="956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on Form 8-K12B filed with the SEC on August 6, 2026).</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3.2</w:t>
            </w:r>
          </w:p>
        </w:tc>
        <w:tc>
          <w:tcPr>
            <w:tcW w:w="9740" w:type="dxa"/>
            <w:vAlign w:val="bottom"/>
            <w:gridSpan w:val="17"/>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By Laws of Granite Ridge Resources, Inc. (incorporated by reference to Exhibit 3.2 to the Company’s Current</w:t>
              </w:r>
            </w:hyperlink>
          </w:p>
        </w:tc>
      </w:tr>
      <w:tr>
        <w:trPr>
          <w:trHeight w:val="183"/>
        </w:trPr>
        <w:tc>
          <w:tcPr>
            <w:tcW w:w="1180" w:type="dxa"/>
            <w:vAlign w:val="bottom"/>
          </w:tcPr>
          <w:p>
            <w:pPr>
              <w:spacing w:after="0"/>
              <w:rPr>
                <w:sz w:val="15"/>
                <w:szCs w:val="15"/>
                <w:color w:val="auto"/>
              </w:rPr>
            </w:pPr>
          </w:p>
        </w:tc>
        <w:tc>
          <w:tcPr>
            <w:tcW w:w="964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Report on Form 8-K12B filed with the SEC on August 6, 2026).</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17"/>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Seventh Amendment to Credit Agreement, dated as of August 3, 2026, by and among Granite Ridge Resources, Inc., as borrower, the</w:t>
              </w:r>
            </w:hyperlink>
          </w:p>
        </w:tc>
      </w:tr>
      <w:tr>
        <w:trPr>
          <w:trHeight w:val="183"/>
        </w:trPr>
        <w:tc>
          <w:tcPr>
            <w:tcW w:w="1180" w:type="dxa"/>
            <w:vAlign w:val="bottom"/>
          </w:tcPr>
          <w:p>
            <w:pPr>
              <w:spacing w:after="0"/>
              <w:rPr>
                <w:sz w:val="15"/>
                <w:szCs w:val="15"/>
                <w:color w:val="auto"/>
              </w:rPr>
            </w:pPr>
          </w:p>
        </w:tc>
        <w:tc>
          <w:tcPr>
            <w:tcW w:w="962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guarantors party thereto, Bank of America, N.A., as administrative agent, and the lenders party thereto (incorporated by reference to</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180" w:type="dxa"/>
            <w:vAlign w:val="bottom"/>
          </w:tcPr>
          <w:p>
            <w:pPr>
              <w:spacing w:after="0"/>
              <w:rPr>
                <w:sz w:val="17"/>
                <w:szCs w:val="17"/>
                <w:color w:val="auto"/>
              </w:rPr>
            </w:pPr>
          </w:p>
        </w:tc>
        <w:tc>
          <w:tcPr>
            <w:tcW w:w="95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Exhibit 10.1 to the Company’s Quarterly Report on Form 10-Q for the quarter ended June 30, 2026 filed with the SEC on August 6,</w:t>
              </w:r>
            </w:hyperlink>
          </w:p>
        </w:tc>
        <w:tc>
          <w:tcPr>
            <w:tcW w:w="16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1180" w:type="dxa"/>
            <w:vAlign w:val="bottom"/>
          </w:tcPr>
          <w:p>
            <w:pPr>
              <w:spacing w:after="0"/>
              <w:rPr>
                <w:sz w:val="15"/>
                <w:szCs w:val="15"/>
                <w:color w:val="auto"/>
              </w:rPr>
            </w:pPr>
          </w:p>
        </w:tc>
        <w:tc>
          <w:tcPr>
            <w:tcW w:w="460" w:type="dxa"/>
            <w:vAlign w:val="bottom"/>
            <w:tcBorders>
              <w:bottom w:val="single" w:sz="8" w:color="0000FF"/>
            </w:tcBorders>
          </w:tcPr>
          <w:p>
            <w:pPr>
              <w:spacing w:after="0" w:line="176" w:lineRule="exact"/>
              <w:rPr>
                <w:rFonts w:ascii="Times New Roman" w:cs="Times New Roman" w:eastAsia="Times New Roman" w:hAnsi="Times New Roman"/>
                <w:sz w:val="18"/>
                <w:szCs w:val="18"/>
                <w:color w:val="0000FF"/>
                <w:w w:val="94"/>
              </w:rPr>
            </w:pPr>
            <w:hyperlink r:id="rId68">
              <w:r>
                <w:rPr>
                  <w:rFonts w:ascii="Times New Roman" w:cs="Times New Roman" w:eastAsia="Times New Roman" w:hAnsi="Times New Roman"/>
                  <w:sz w:val="18"/>
                  <w:szCs w:val="18"/>
                  <w:color w:val="0000FF"/>
                  <w:w w:val="94"/>
                </w:rPr>
                <w:t>2026).</w:t>
              </w:r>
            </w:hyperlink>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gridSpan w:val="1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Indemnification Agreement for directors affiliated with the Grey Rock funds (incorporated by reference to Exhibit 10.1 to the</w:t>
              </w:r>
            </w:hyperlink>
          </w:p>
        </w:tc>
      </w:tr>
      <w:tr>
        <w:trPr>
          <w:trHeight w:val="183"/>
        </w:trPr>
        <w:tc>
          <w:tcPr>
            <w:tcW w:w="1180" w:type="dxa"/>
            <w:vAlign w:val="bottom"/>
          </w:tcPr>
          <w:p>
            <w:pPr>
              <w:spacing w:after="0"/>
              <w:rPr>
                <w:sz w:val="15"/>
                <w:szCs w:val="15"/>
                <w:color w:val="auto"/>
              </w:rPr>
            </w:pPr>
          </w:p>
        </w:tc>
        <w:tc>
          <w:tcPr>
            <w:tcW w:w="96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Current Report on Form 8-K12B filed with the SEC on August 6, 2026).</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10.3</w:t>
            </w:r>
          </w:p>
        </w:tc>
        <w:tc>
          <w:tcPr>
            <w:tcW w:w="9740" w:type="dxa"/>
            <w:vAlign w:val="bottom"/>
            <w:gridSpan w:val="1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Indemnification Agreement for officers and outside directors (incorporated by reference to Exhibit 10.2 to the Company’s</w:t>
              </w:r>
            </w:hyperlink>
          </w:p>
        </w:tc>
      </w:tr>
      <w:tr>
        <w:trPr>
          <w:trHeight w:val="183"/>
        </w:trPr>
        <w:tc>
          <w:tcPr>
            <w:tcW w:w="1180" w:type="dxa"/>
            <w:vAlign w:val="bottom"/>
          </w:tcPr>
          <w:p>
            <w:pPr>
              <w:spacing w:after="0"/>
              <w:rPr>
                <w:sz w:val="15"/>
                <w:szCs w:val="15"/>
                <w:color w:val="auto"/>
              </w:rPr>
            </w:pPr>
          </w:p>
        </w:tc>
        <w:tc>
          <w:tcPr>
            <w:tcW w:w="940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Current Report on Form 8-K12B filed with the SEC on August 6, 2026)</w:t>
              </w:r>
              <w:r>
                <w:rPr>
                  <w:rFonts w:ascii="Times New Roman" w:cs="Times New Roman" w:eastAsia="Times New Roman" w:hAnsi="Times New Roman"/>
                  <w:sz w:val="18"/>
                  <w:szCs w:val="18"/>
                  <w:u w:val="single" w:color="auto"/>
                  <w:color w:val="0000FF"/>
                </w:rPr>
                <w:t>.</w:t>
              </w:r>
            </w:hyperlink>
          </w:p>
        </w:tc>
        <w:tc>
          <w:tcPr>
            <w:tcW w:w="3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31.1*</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Section 302 of the Sarbanes Oxley Act of 2002.</w:t>
            </w:r>
          </w:p>
        </w:tc>
      </w:tr>
      <w:tr>
        <w:trPr>
          <w:trHeight w:val="358"/>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31.2*</w:t>
            </w:r>
          </w:p>
        </w:tc>
        <w:tc>
          <w:tcPr>
            <w:tcW w:w="83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 Pursuant to Section 302 of the Sarbanes Oxley Act of 2002.</w:t>
            </w:r>
          </w:p>
        </w:tc>
        <w:tc>
          <w:tcPr>
            <w:tcW w:w="40" w:type="dxa"/>
            <w:vAlign w:val="bottom"/>
            <w:tcBorders>
              <w:top w:val="single" w:sz="8" w:color="0000FF"/>
            </w:tcBorders>
          </w:tcPr>
          <w:p>
            <w:pPr>
              <w:spacing w:after="0"/>
              <w:rPr>
                <w:sz w:val="24"/>
                <w:szCs w:val="24"/>
                <w:color w:val="auto"/>
              </w:rPr>
            </w:pPr>
          </w:p>
        </w:tc>
        <w:tc>
          <w:tcPr>
            <w:tcW w:w="1400" w:type="dxa"/>
            <w:vAlign w:val="bottom"/>
            <w:gridSpan w:val="8"/>
          </w:tcPr>
          <w:p>
            <w:pPr>
              <w:spacing w:after="0"/>
              <w:rPr>
                <w:sz w:val="24"/>
                <w:szCs w:val="24"/>
                <w:color w:val="auto"/>
              </w:rPr>
            </w:pPr>
          </w:p>
        </w:tc>
      </w:tr>
      <w:tr>
        <w:trPr>
          <w:trHeight w:val="358"/>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and Chief Financial Officer Pursuant to Section 906 of the Sarbanes Oxley Act</w:t>
            </w:r>
          </w:p>
        </w:tc>
      </w:tr>
      <w:tr>
        <w:trPr>
          <w:trHeight w:val="183"/>
        </w:trPr>
        <w:tc>
          <w:tcPr>
            <w:tcW w:w="1180" w:type="dxa"/>
            <w:vAlign w:val="bottom"/>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6"/>
              </w:rPr>
              <w:t>of 2002.</w:t>
            </w:r>
          </w:p>
        </w:tc>
        <w:tc>
          <w:tcPr>
            <w:tcW w:w="912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0"/>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101.CAL*</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101.DEF*</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70"/>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101.LAB*</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tc>
      </w:tr>
      <w:tr>
        <w:trPr>
          <w:trHeight w:val="81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70"/>
        </w:trPr>
        <w:tc>
          <w:tcPr>
            <w:tcW w:w="3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1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 KYLE KETTLER</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 Kyle Kettler</w:t>
            </w:r>
          </w:p>
        </w:tc>
      </w:tr>
      <w:tr>
        <w:trPr>
          <w:trHeight w:val="270"/>
        </w:trPr>
        <w:tc>
          <w:tcPr>
            <w:tcW w:w="3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81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KIMBERLY A. WEIMER</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Kimberly A. Weimer</w:t>
            </w:r>
          </w:p>
        </w:tc>
      </w:tr>
      <w:tr>
        <w:trPr>
          <w:trHeight w:val="270"/>
        </w:trPr>
        <w:tc>
          <w:tcPr>
            <w:tcW w:w="3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S. Farquharson,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0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31115</wp:posOffset>
            </wp:positionV>
            <wp:extent cx="38487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6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Tyler S. Farquharson</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Kyle Kettler,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0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R. KYLE KETTLER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31115</wp:posOffset>
            </wp:positionV>
            <wp:extent cx="38487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6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 Kyle Kettler</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Granite Ridge Resources, Inc. (the “Company”) for the period ended September 30, 2026,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2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57"/>
        </w:trPr>
        <w:tc>
          <w:tcPr>
            <w:tcW w:w="3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70"/>
        </w:trPr>
        <w:tc>
          <w:tcPr>
            <w:tcW w:w="3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54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2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 KYLE KETTLER</w:t>
            </w:r>
          </w:p>
        </w:tc>
      </w:tr>
      <w:tr>
        <w:trPr>
          <w:trHeight w:val="257"/>
        </w:trPr>
        <w:tc>
          <w:tcPr>
            <w:tcW w:w="3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 Kyle Kettler</w:t>
            </w:r>
          </w:p>
        </w:tc>
      </w:tr>
      <w:tr>
        <w:trPr>
          <w:trHeight w:val="270"/>
        </w:trPr>
        <w:tc>
          <w:tcPr>
            <w:tcW w:w="3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Roman"/>
      <w:start w:val="4"/>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decimal"/>
      <w:start w:val="1"/>
    </w:lvl>
    <w:lvl w:ilvl="1">
      <w:lvlJc w:val="left"/>
      <w:lvlText w:val="(%2)"/>
      <w:numFmt w:val="decimal"/>
      <w:start w:val="2"/>
    </w:lvl>
  </w:abstractNum>
  <w:abstractNum w:abstractNumId="8">
    <w:nsid w:val="7FDCC233"/>
    <w:multiLevelType w:val="hybridMultilevel"/>
    <w:lvl w:ilvl="0">
      <w:lvlJc w:val="left"/>
      <w:lvlText w:val="%1."/>
      <w:numFmt w:val="decimal"/>
      <w:start w:val="7"/>
    </w:lvl>
    <w:lvl w:ilvl="1">
      <w:lvlJc w:val="left"/>
      <w:lvlText w:val="%2"/>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Roman"/>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5" Type="http://schemas.openxmlformats.org/officeDocument/2006/relationships/hyperlink" Target="https://www.sec.gov/Archives/edgar/data/1928446/000192844626000041/grnt-20260805x8kxexx21.htm" TargetMode="External"/><Relationship Id="rId66" Type="http://schemas.openxmlformats.org/officeDocument/2006/relationships/hyperlink" Target="https://www.sec.gov/Archives/edgar/data/1928446/000192844626000041/grnt-20260805x8kxexx31.htm" TargetMode="External"/><Relationship Id="rId67" Type="http://schemas.openxmlformats.org/officeDocument/2006/relationships/hyperlink" Target="https://www.sec.gov/Archives/edgar/data/1928446/000192844626000041/grnt-20260805x8kxexx32.htm" TargetMode="External"/><Relationship Id="rId68" Type="http://schemas.openxmlformats.org/officeDocument/2006/relationships/hyperlink" Target="https://www.sec.gov/Archives/edgar/data/1928446/000192844626000051/grnt-20260630xxexx101sev.htm" TargetMode="External"/><Relationship Id="rId69" Type="http://schemas.openxmlformats.org/officeDocument/2006/relationships/hyperlink" Target="https://www.sec.gov/Archives/edgar/data/1928446/000192844626000041/grnt-20260805x8kxexx101.htm" TargetMode="External"/><Relationship Id="rId70" Type="http://schemas.openxmlformats.org/officeDocument/2006/relationships/hyperlink" Target="https://www.sec.gov/Archives/edgar/data/1928446/000192844626000041/grnt-20260805x8kxex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2026-11-05T16:38:41Z</dcterms:created>
  <dcterms:modified xsi:type="dcterms:W3CDTF">2026-11-05T16:38:41Z</dcterms:modified>
</cp:coreProperties>
</file>