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553085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578485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301" w:lineRule="exact"/>
        <w:rPr>
          <w:sz w:val="24"/>
          <w:szCs w:val="24"/>
          <w:color w:val="auto"/>
        </w:rPr>
      </w:pPr>
    </w:p>
    <w:p>
      <w:pPr>
        <w:ind w:left="360" w:hanging="336"/>
        <w:spacing w:after="0"/>
        <w:tabs>
          <w:tab w:leader="none" w:pos="36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5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51"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4" w:lineRule="exact"/>
        <w:rPr>
          <w:sz w:val="24"/>
          <w:szCs w:val="24"/>
          <w:color w:val="auto"/>
        </w:rPr>
      </w:pPr>
    </w:p>
    <w:p>
      <w:pPr>
        <w:ind w:left="340" w:hanging="316"/>
        <w:spacing w:after="0"/>
        <w:tabs>
          <w:tab w:leader="none" w:pos="34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60" w:type="dxa"/>
            <w:vAlign w:val="bottom"/>
          </w:tcPr>
          <w:p>
            <w:pPr>
              <w:spacing w:after="0"/>
              <w:rPr>
                <w:sz w:val="14"/>
                <w:szCs w:val="14"/>
                <w:color w:val="auto"/>
              </w:rPr>
            </w:pPr>
          </w:p>
        </w:tc>
        <w:tc>
          <w:tcPr>
            <w:tcW w:w="3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_______</w:t>
            </w:r>
          </w:p>
        </w:tc>
        <w:tc>
          <w:tcPr>
            <w:tcW w:w="3800" w:type="dxa"/>
            <w:vAlign w:val="bottom"/>
          </w:tcPr>
          <w:p>
            <w:pPr>
              <w:spacing w:after="0"/>
              <w:rPr>
                <w:sz w:val="14"/>
                <w:szCs w:val="14"/>
                <w:color w:val="auto"/>
              </w:rPr>
            </w:pPr>
          </w:p>
        </w:tc>
      </w:tr>
      <w:tr>
        <w:trPr>
          <w:trHeight w:val="165"/>
        </w:trPr>
        <w:tc>
          <w:tcPr>
            <w:tcW w:w="3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Commission File Number: 001-41537</w:t>
            </w:r>
          </w:p>
        </w:tc>
        <w:tc>
          <w:tcPr>
            <w:tcW w:w="3800" w:type="dxa"/>
            <w:vAlign w:val="bottom"/>
          </w:tcPr>
          <w:p>
            <w:pPr>
              <w:spacing w:after="0"/>
              <w:rPr>
                <w:sz w:val="14"/>
                <w:szCs w:val="14"/>
                <w:color w:val="auto"/>
              </w:rPr>
            </w:pPr>
          </w:p>
        </w:tc>
      </w:tr>
      <w:tr>
        <w:trPr>
          <w:trHeight w:val="370"/>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28"/>
                <w:szCs w:val="28"/>
                <w:color w:val="auto"/>
              </w:rPr>
              <w:t>___________________________________</w:t>
            </w:r>
          </w:p>
        </w:tc>
      </w:tr>
      <w:tr>
        <w:trPr>
          <w:trHeight w:val="366"/>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28"/>
                <w:szCs w:val="28"/>
                <w:b w:val="1"/>
                <w:bCs w:val="1"/>
                <w:color w:val="auto"/>
              </w:rPr>
              <w:t>GRANITE RIDGE RESOURCES, INC.</w:t>
            </w:r>
          </w:p>
        </w:tc>
      </w:tr>
      <w:tr>
        <w:trPr>
          <w:trHeight w:val="165"/>
        </w:trPr>
        <w:tc>
          <w:tcPr>
            <w:tcW w:w="3760" w:type="dxa"/>
            <w:vAlign w:val="bottom"/>
          </w:tcPr>
          <w:p>
            <w:pPr>
              <w:spacing w:after="0"/>
              <w:rPr>
                <w:sz w:val="14"/>
                <w:szCs w:val="14"/>
                <w:color w:val="auto"/>
              </w:rPr>
            </w:pPr>
          </w:p>
        </w:tc>
        <w:tc>
          <w:tcPr>
            <w:tcW w:w="36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Exact Name of Registrant as Specified in Its Charter</w:t>
            </w:r>
            <w:r>
              <w:rPr>
                <w:rFonts w:ascii="Times New Roman" w:cs="Times New Roman" w:eastAsia="Times New Roman" w:hAnsi="Times New Roman"/>
                <w:sz w:val="14"/>
                <w:szCs w:val="14"/>
                <w:color w:val="auto"/>
              </w:rPr>
              <w:t xml:space="preserve"> )</w:t>
            </w:r>
          </w:p>
        </w:tc>
        <w:tc>
          <w:tcPr>
            <w:tcW w:w="3800" w:type="dxa"/>
            <w:vAlign w:val="bottom"/>
          </w:tcPr>
          <w:p>
            <w:pPr>
              <w:spacing w:after="0"/>
              <w:rPr>
                <w:sz w:val="14"/>
                <w:szCs w:val="14"/>
                <w:color w:val="auto"/>
              </w:rPr>
            </w:pPr>
          </w:p>
        </w:tc>
      </w:tr>
      <w:tr>
        <w:trPr>
          <w:trHeight w:val="370"/>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28"/>
                <w:szCs w:val="28"/>
                <w:color w:val="auto"/>
              </w:rPr>
              <w:t>___________________________________</w:t>
            </w:r>
          </w:p>
        </w:tc>
      </w:tr>
      <w:tr>
        <w:trPr>
          <w:trHeight w:val="208"/>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88-2227812</w:t>
            </w:r>
          </w:p>
        </w:tc>
      </w:tr>
      <w:tr>
        <w:trPr>
          <w:trHeight w:val="200"/>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675"/>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5217 McKinney Ave, Suite 400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86"/>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Dallas, TX</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75205</w:t>
            </w:r>
          </w:p>
        </w:tc>
      </w:tr>
      <w:tr>
        <w:trPr>
          <w:trHeight w:val="225"/>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384"/>
        </w:trPr>
        <w:tc>
          <w:tcPr>
            <w:tcW w:w="3760" w:type="dxa"/>
            <w:vAlign w:val="bottom"/>
          </w:tcPr>
          <w:p>
            <w:pPr>
              <w:spacing w:after="0"/>
              <w:rPr>
                <w:sz w:val="24"/>
                <w:szCs w:val="24"/>
                <w:color w:val="auto"/>
              </w:rPr>
            </w:pPr>
          </w:p>
        </w:tc>
        <w:tc>
          <w:tcPr>
            <w:tcW w:w="292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(214) 396-2850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67"/>
        </w:trPr>
        <w:tc>
          <w:tcPr>
            <w:tcW w:w="3760" w:type="dxa"/>
            <w:vAlign w:val="bottom"/>
          </w:tcPr>
          <w:p>
            <w:pPr>
              <w:spacing w:after="0"/>
              <w:rPr>
                <w:sz w:val="23"/>
                <w:szCs w:val="23"/>
                <w:color w:val="auto"/>
              </w:rPr>
            </w:pPr>
          </w:p>
        </w:tc>
        <w:tc>
          <w:tcPr>
            <w:tcW w:w="36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00" w:type="dxa"/>
            <w:vAlign w:val="bottom"/>
          </w:tcPr>
          <w:p>
            <w:pPr>
              <w:spacing w:after="0"/>
              <w:rPr>
                <w:sz w:val="23"/>
                <w:szCs w:val="23"/>
                <w:color w:val="auto"/>
              </w:rPr>
            </w:pPr>
          </w:p>
        </w:tc>
      </w:tr>
      <w:tr>
        <w:trPr>
          <w:trHeight w:val="184"/>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r>
      <w:tr>
        <w:trPr>
          <w:trHeight w:val="371"/>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37"/>
        </w:trPr>
        <w:tc>
          <w:tcPr>
            <w:tcW w:w="3760" w:type="dxa"/>
            <w:vAlign w:val="bottom"/>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800" w:type="dxa"/>
            <w:vAlign w:val="bottom"/>
          </w:tcPr>
          <w:p>
            <w:pPr>
              <w:jc w:val="center"/>
              <w:ind w:right="58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3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81"/>
        </w:trPr>
        <w:tc>
          <w:tcPr>
            <w:tcW w:w="3760" w:type="dxa"/>
            <w:vAlign w:val="bottom"/>
          </w:tcPr>
          <w:p>
            <w:pPr>
              <w:jc w:val="center"/>
              <w:ind w:left="593"/>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color w:val="auto"/>
                <w:w w:val="99"/>
              </w:rPr>
              <w:t>GRNT</w:t>
            </w:r>
          </w:p>
        </w:tc>
        <w:tc>
          <w:tcPr>
            <w:tcW w:w="3800" w:type="dxa"/>
            <w:vAlign w:val="bottom"/>
          </w:tcPr>
          <w:p>
            <w:pPr>
              <w:jc w:val="center"/>
              <w:ind w:right="589"/>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306" w:lineRule="exact"/>
        <w:rPr>
          <w:sz w:val="24"/>
          <w:szCs w:val="24"/>
          <w:color w:val="auto"/>
        </w:rPr>
      </w:pPr>
    </w:p>
    <w:p>
      <w:pPr>
        <w:jc w:val="both"/>
        <w:spacing w:after="0" w:line="310"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5" w:lineRule="exact"/>
        <w:rPr>
          <w:sz w:val="24"/>
          <w:szCs w:val="24"/>
          <w:color w:val="auto"/>
        </w:rPr>
      </w:pPr>
    </w:p>
    <w:p>
      <w:pPr>
        <w:jc w:val="both"/>
        <w:spacing w:after="0" w:line="310"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8" w:lineRule="exact"/>
        <w:rPr>
          <w:sz w:val="24"/>
          <w:szCs w:val="24"/>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sectPr>
      </w:pPr>
    </w:p>
    <w:p>
      <w:pPr>
        <w:spacing w:after="0" w:line="20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44"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199" w:lineRule="exact"/>
        <w:rPr>
          <w:sz w:val="24"/>
          <w:szCs w:val="24"/>
          <w:color w:val="auto"/>
        </w:rPr>
      </w:pPr>
    </w:p>
    <w:p>
      <w:pPr>
        <w:sectPr>
          <w:pgSz w:w="11900" w:h="16838" w:orient="portrait"/>
          <w:cols w:equalWidth="0" w:num="8">
            <w:col w:w="1700" w:space="500"/>
            <w:col w:w="420" w:space="720"/>
            <w:col w:w="960" w:space="480"/>
            <w:col w:w="440" w:space="720"/>
            <w:col w:w="1200" w:space="520"/>
            <w:col w:w="400" w:space="720"/>
            <w:col w:w="1540" w:space="600"/>
            <w:col w:w="320"/>
          </w:cols>
          <w:pgMar w:left="320" w:top="227" w:right="339" w:bottom="1440" w:gutter="0" w:footer="0" w:header="0"/>
          <w:type w:val="continuous"/>
        </w:sectPr>
      </w:pPr>
    </w:p>
    <w:p>
      <w:pPr>
        <w:spacing w:after="0" w:line="310"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1" w:lineRule="exact"/>
        <w:rPr>
          <w:sz w:val="24"/>
          <w:szCs w:val="24"/>
          <w:color w:val="auto"/>
        </w:rPr>
      </w:pPr>
    </w:p>
    <w:p>
      <w:pPr>
        <w:ind w:right="4020"/>
        <w:spacing w:after="0" w:line="448"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August 4, 2025, there were 131,247,812 shares of our common stock, par value $0.0001,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730885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86995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112395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spacing w:after="0" w:line="163"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From time to time, our management or persons acting on our behalf may make "forward-looking statements," within the meaning of Section 27A of the Securities Act of 1933, as amended (the "Securities Act"), and Section 21E of the Securities Exchange Act of 1934, as amended (the "Exchange Act"), to inform existing and potential security holders about our company. All statements other than statements of historical facts included in this Quarterly Report on Form 10-Q (this "Report"), including, without limitation, statements regarding our financial position, operating and financial performance,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spacing w:after="0" w:line="1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Forward-looking statements involve inherent risks and uncertainties, and important factors (many of which are beyond our company’s control) could cause actual results to differ materially from those set forth in the forward-looking statements, including the following:</w:t>
      </w:r>
    </w:p>
    <w:p>
      <w:pPr>
        <w:spacing w:after="0" w:line="163"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or future commodity prices and interest rates;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constraints and related factors affecting our properties;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additional development opportunities and potential or pending acquisition transactions, as well as the effects of such acquisitions on our company’s cash position and levels of indebtedness;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reserves estimates or the value thereof;</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including, but not limited to, the pace of drilling and completions activity on our properties;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Granite Ridge competes;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legislation, or regulations, including those relating to environmental matters;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cyber-related risks;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reserve estimates depend on many assumptions that may turn out to be inaccurate and that any material inaccuracies in reserve estimates or underlying assumptions will materially affect the quantities and present value of our reserves;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and trading of Granite Ridge’s securities;</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terrorism or uncertainty regarding the effects and duration of global hostilities, including the Israel-Hamas conflict, the Russia-Ukraine war, continued instability in the Middle East, and any associated armed conflicts or related sanctions which may disrupt commodity prices and create instability in the financial markets;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global, regulatory, technical, and economic factors beyond Granite Ridge’s control, including the potential adverse effects of world health events affecting capital markets, general economic</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conditions, global supply chains, uncertainties with respect to trade policies (including the imposition of tariffs) and Granite Ridge’s business and operations;</w:t>
      </w:r>
    </w:p>
    <w:p>
      <w:pPr>
        <w:spacing w:after="0" w:line="163"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and investor emphasis on, and attention to, environmental, social, and governance matters;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 over financial reporting; and</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our Annual Report on Form 10-K for the year ended December 31, 2024 (the "2024 Form 10-K") under “Risk Factors,” as updated by any subsequent Quarterly Reports on Form 10-Q, including this Report, which we file with the United States Securities and Exchange Commission (“SEC”).</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If one or more of these risks or uncertainties materialize, or if the underlying assumptions prove incorrect, our actual results may vary materially from those expected or projected.</w:t>
      </w:r>
    </w:p>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Readers are urged not to place undue reliance on these forward-looking statements, which speak only as of the date of this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operations and cash flows. If one or more of these risks or uncertainties materialize, or if the underlying assumptions prove incorrect, our actual results may vary materially from those expected or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028"/>
        </w:trPr>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80" w:type="dxa"/>
            <w:vAlign w:val="bottom"/>
          </w:tcPr>
          <w:p>
            <w:pPr>
              <w:spacing w:after="0"/>
              <w:rPr>
                <w:sz w:val="24"/>
                <w:szCs w:val="24"/>
                <w:color w:val="auto"/>
              </w:rPr>
            </w:pPr>
          </w:p>
        </w:tc>
      </w:tr>
      <w:tr>
        <w:trPr>
          <w:trHeight w:val="46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9"/>
        </w:trPr>
        <w:tc>
          <w:tcPr>
            <w:tcW w:w="20" w:type="dxa"/>
            <w:vAlign w:val="bottom"/>
          </w:tcPr>
          <w:p>
            <w:pPr>
              <w:spacing w:after="0"/>
              <w:rPr>
                <w:sz w:val="15"/>
                <w:szCs w:val="15"/>
                <w:color w:val="auto"/>
              </w:rPr>
            </w:pPr>
          </w:p>
        </w:tc>
        <w:tc>
          <w:tcPr>
            <w:tcW w:w="5680" w:type="dxa"/>
            <w:vAlign w:val="bottom"/>
            <w:tcBorders>
              <w:bottom w:val="single" w:sz="8" w:color="0000FF"/>
            </w:tcBorders>
            <w:gridSpan w:val="19"/>
          </w:tcPr>
          <w:p>
            <w:pPr>
              <w:spacing w:after="0" w:line="179" w:lineRule="exact"/>
              <w:rPr>
                <w:sz w:val="20"/>
                <w:szCs w:val="20"/>
                <w:color w:val="auto"/>
              </w:rPr>
            </w:pPr>
            <w:r>
              <w:rPr>
                <w:rFonts w:ascii="Times New Roman" w:cs="Times New Roman" w:eastAsia="Times New Roman" w:hAnsi="Times New Roman"/>
                <w:sz w:val="18"/>
                <w:szCs w:val="18"/>
                <w:color w:val="0000FF"/>
                <w:w w:val="96"/>
              </w:rPr>
              <w:t>CAUTIONARY NOTE REGARDING FORWARD-LOOKING STATEMENTS</w:t>
            </w:r>
          </w:p>
        </w:tc>
        <w:tc>
          <w:tcPr>
            <w:tcW w:w="4260" w:type="dxa"/>
            <w:vAlign w:val="bottom"/>
            <w:gridSpan w:val="5"/>
          </w:tcPr>
          <w:p>
            <w:pPr>
              <w:spacing w:after="0"/>
              <w:rPr>
                <w:sz w:val="15"/>
                <w:szCs w:val="15"/>
                <w:color w:val="auto"/>
              </w:rPr>
            </w:pPr>
          </w:p>
        </w:tc>
        <w:tc>
          <w:tcPr>
            <w:tcW w:w="12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2</w:t>
            </w:r>
          </w:p>
        </w:tc>
      </w:tr>
      <w:tr>
        <w:trPr>
          <w:trHeight w:val="205"/>
        </w:trPr>
        <w:tc>
          <w:tcPr>
            <w:tcW w:w="20" w:type="dxa"/>
            <w:vAlign w:val="bottom"/>
          </w:tcPr>
          <w:p>
            <w:pPr>
              <w:spacing w:after="0"/>
              <w:rPr>
                <w:sz w:val="17"/>
                <w:szCs w:val="17"/>
                <w:color w:val="auto"/>
              </w:rPr>
            </w:pPr>
          </w:p>
        </w:tc>
        <w:tc>
          <w:tcPr>
            <w:tcW w:w="9940" w:type="dxa"/>
            <w:vAlign w:val="bottom"/>
            <w:gridSpan w:val="24"/>
          </w:tcPr>
          <w:p>
            <w:pPr>
              <w:spacing w:after="0" w:line="205"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1.</w:t>
            </w:r>
          </w:p>
        </w:tc>
        <w:tc>
          <w:tcPr>
            <w:tcW w:w="440" w:type="dxa"/>
            <w:vAlign w:val="bottom"/>
          </w:tcPr>
          <w:p>
            <w:pPr>
              <w:spacing w:after="0"/>
              <w:rPr>
                <w:sz w:val="17"/>
                <w:szCs w:val="17"/>
                <w:color w:val="auto"/>
              </w:rPr>
            </w:pPr>
          </w:p>
        </w:tc>
        <w:tc>
          <w:tcPr>
            <w:tcW w:w="82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w:t>
            </w: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8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Balance Sheets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5"/>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5"/>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Changes in Equity</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5"/>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w:t>
            </w:r>
          </w:p>
        </w:tc>
        <w:tc>
          <w:tcPr>
            <w:tcW w:w="280" w:type="dxa"/>
            <w:vAlign w:val="bottom"/>
          </w:tcPr>
          <w:p>
            <w:pPr>
              <w:spacing w:after="0"/>
              <w:rPr>
                <w:sz w:val="21"/>
                <w:szCs w:val="21"/>
                <w:color w:val="auto"/>
              </w:rPr>
            </w:pPr>
          </w:p>
        </w:tc>
        <w:tc>
          <w:tcPr>
            <w:tcW w:w="3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5"/>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9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Notes to Condensed Consolidated Financial Statements</w:t>
            </w:r>
          </w:p>
        </w:tc>
        <w:tc>
          <w:tcPr>
            <w:tcW w:w="3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5"/>
        </w:trPr>
        <w:tc>
          <w:tcPr>
            <w:tcW w:w="20" w:type="dxa"/>
            <w:vAlign w:val="bottom"/>
          </w:tcPr>
          <w:p>
            <w:pPr>
              <w:spacing w:after="0"/>
              <w:rPr>
                <w:sz w:val="21"/>
                <w:szCs w:val="21"/>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19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0000FF"/>
              </w:rPr>
              <w:t>Item 3.</w:t>
            </w:r>
          </w:p>
        </w:tc>
        <w:tc>
          <w:tcPr>
            <w:tcW w:w="60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8260" w:type="dxa"/>
            <w:vAlign w:val="bottom"/>
            <w:gridSpan w:val="19"/>
          </w:tcPr>
          <w:p>
            <w:pPr>
              <w:spacing w:after="0" w:line="19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Item 4.</w:t>
            </w:r>
          </w:p>
        </w:tc>
        <w:tc>
          <w:tcPr>
            <w:tcW w:w="6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82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5"/>
              </w:rPr>
              <w:t>PART II – OTHER INFORMATION</w:t>
            </w:r>
          </w:p>
        </w:tc>
        <w:tc>
          <w:tcPr>
            <w:tcW w:w="7320" w:type="dxa"/>
            <w:vAlign w:val="bottom"/>
            <w:gridSpan w:val="15"/>
          </w:tcPr>
          <w:p>
            <w:pPr>
              <w:spacing w:after="0"/>
              <w:rPr>
                <w:sz w:val="17"/>
                <w:szCs w:val="17"/>
                <w:color w:val="auto"/>
              </w:rPr>
            </w:pP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34</w:t>
            </w:r>
          </w:p>
        </w:tc>
      </w:tr>
      <w:tr>
        <w:trPr>
          <w:trHeight w:val="205"/>
        </w:trPr>
        <w:tc>
          <w:tcPr>
            <w:tcW w:w="20" w:type="dxa"/>
            <w:vAlign w:val="bottom"/>
          </w:tcPr>
          <w:p>
            <w:pPr>
              <w:spacing w:after="0"/>
              <w:rPr>
                <w:sz w:val="17"/>
                <w:szCs w:val="17"/>
                <w:color w:val="auto"/>
              </w:rPr>
            </w:pPr>
          </w:p>
        </w:tc>
        <w:tc>
          <w:tcPr>
            <w:tcW w:w="124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1.</w:t>
            </w:r>
          </w:p>
        </w:tc>
        <w:tc>
          <w:tcPr>
            <w:tcW w:w="440" w:type="dxa"/>
            <w:vAlign w:val="bottom"/>
          </w:tcPr>
          <w:p>
            <w:pPr>
              <w:spacing w:after="0"/>
              <w:rPr>
                <w:sz w:val="17"/>
                <w:szCs w:val="17"/>
                <w:color w:val="auto"/>
              </w:rPr>
            </w:pPr>
          </w:p>
        </w:tc>
        <w:tc>
          <w:tcPr>
            <w:tcW w:w="82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1A.</w:t>
            </w:r>
          </w:p>
        </w:tc>
        <w:tc>
          <w:tcPr>
            <w:tcW w:w="6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82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4.</w:t>
            </w:r>
          </w:p>
        </w:tc>
        <w:tc>
          <w:tcPr>
            <w:tcW w:w="440" w:type="dxa"/>
            <w:vAlign w:val="bottom"/>
          </w:tcPr>
          <w:p>
            <w:pPr>
              <w:spacing w:after="0"/>
              <w:rPr>
                <w:sz w:val="17"/>
                <w:szCs w:val="17"/>
                <w:color w:val="auto"/>
              </w:rPr>
            </w:pPr>
          </w:p>
        </w:tc>
        <w:tc>
          <w:tcPr>
            <w:tcW w:w="82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54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5.</w:t>
            </w:r>
          </w:p>
        </w:tc>
        <w:tc>
          <w:tcPr>
            <w:tcW w:w="440" w:type="dxa"/>
            <w:vAlign w:val="bottom"/>
          </w:tcPr>
          <w:p>
            <w:pPr>
              <w:spacing w:after="0"/>
              <w:rPr>
                <w:sz w:val="17"/>
                <w:szCs w:val="17"/>
                <w:color w:val="auto"/>
              </w:rPr>
            </w:pPr>
          </w:p>
        </w:tc>
        <w:tc>
          <w:tcPr>
            <w:tcW w:w="82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698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6.</w:t>
            </w:r>
          </w:p>
        </w:tc>
        <w:tc>
          <w:tcPr>
            <w:tcW w:w="440" w:type="dxa"/>
            <w:vAlign w:val="bottom"/>
          </w:tcPr>
          <w:p>
            <w:pPr>
              <w:spacing w:after="0"/>
              <w:rPr>
                <w:sz w:val="17"/>
                <w:szCs w:val="17"/>
                <w:color w:val="auto"/>
              </w:rPr>
            </w:pPr>
          </w:p>
        </w:tc>
        <w:tc>
          <w:tcPr>
            <w:tcW w:w="82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Exhibits</w:t>
            </w: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36</w:t>
            </w:r>
          </w:p>
        </w:tc>
      </w:tr>
      <w:tr>
        <w:trPr>
          <w:trHeight w:val="909"/>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11"/>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par value and share data)</w:t>
            </w:r>
          </w:p>
        </w:tc>
        <w:tc>
          <w:tcPr>
            <w:tcW w:w="280" w:type="dxa"/>
            <w:vAlign w:val="bottom"/>
          </w:tcPr>
          <w:p>
            <w:pPr>
              <w:spacing w:after="0"/>
              <w:rPr>
                <w:sz w:val="16"/>
                <w:szCs w:val="16"/>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6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72"/>
        </w:trPr>
        <w:tc>
          <w:tcPr>
            <w:tcW w:w="7500" w:type="dxa"/>
            <w:vAlign w:val="bottom"/>
            <w:tcBorders>
              <w:bottom w:val="single" w:sz="8" w:color="CCEEFF"/>
            </w:tcBorders>
            <w:shd w:val="clear" w:color="auto" w:fill="CCEEFF"/>
          </w:tcPr>
          <w:p>
            <w:pPr>
              <w:ind w:left="34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r>
      <w:tr>
        <w:trPr>
          <w:trHeight w:val="18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4"/>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2"/>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9,419</w:t>
            </w:r>
          </w:p>
        </w:tc>
      </w:tr>
      <w:tr>
        <w:trPr>
          <w:trHeight w:val="188"/>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Revenue receivable</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69,692</w:t>
            </w:r>
          </w:p>
        </w:tc>
      </w:tr>
      <w:tr>
        <w:trPr>
          <w:trHeight w:val="24"/>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2"/>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Advances to operators</w:t>
            </w: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19,959</w:t>
            </w:r>
          </w:p>
        </w:tc>
      </w:tr>
      <w:tr>
        <w:trPr>
          <w:trHeight w:val="188"/>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w:t>
            </w:r>
          </w:p>
        </w:tc>
      </w:tr>
      <w:tr>
        <w:trPr>
          <w:trHeight w:val="24"/>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2"/>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assets - commodity derivatives</w:t>
            </w: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188"/>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 investments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31,783</w:t>
            </w:r>
          </w:p>
        </w:tc>
      </w:tr>
      <w:tr>
        <w:trPr>
          <w:trHeight w:val="24"/>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108,964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135,221</w:t>
            </w:r>
          </w:p>
        </w:tc>
      </w:tr>
      <w:tr>
        <w:trPr>
          <w:trHeight w:val="16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r>
      <w:tr>
        <w:trPr>
          <w:trHeight w:val="24"/>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2"/>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and gas properties, successful efforts method</w:t>
            </w: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1,733,681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1,540,021</w:t>
            </w:r>
          </w:p>
        </w:tc>
      </w:tr>
      <w:tr>
        <w:trPr>
          <w:trHeight w:val="188"/>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depletion</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(744,463)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(643,051)</w:t>
            </w:r>
          </w:p>
        </w:tc>
      </w:tr>
      <w:tr>
        <w:trPr>
          <w:trHeight w:val="24"/>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989,218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896,970</w:t>
            </w:r>
          </w:p>
        </w:tc>
      </w:tr>
      <w:tr>
        <w:trPr>
          <w:trHeight w:val="16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assets:</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r>
      <w:tr>
        <w:trPr>
          <w:trHeight w:val="24"/>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2"/>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assets - commodity derivatives</w:t>
            </w: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long-term assets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4,288</w:t>
            </w:r>
          </w:p>
        </w:tc>
      </w:tr>
      <w:tr>
        <w:trPr>
          <w:trHeight w:val="24"/>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long-term assets</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w:t>
            </w:r>
          </w:p>
        </w:tc>
      </w:tr>
      <w:tr>
        <w:trPr>
          <w:trHeight w:val="18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1,104,963</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1,036,479</w:t>
            </w:r>
          </w:p>
        </w:tc>
      </w:tr>
      <w:tr>
        <w:trPr>
          <w:trHeight w:val="24"/>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58"/>
        </w:trPr>
        <w:tc>
          <w:tcPr>
            <w:tcW w:w="7500" w:type="dxa"/>
            <w:vAlign w:val="bottom"/>
            <w:tcBorders>
              <w:bottom w:val="single" w:sz="8" w:color="CCEEFF"/>
            </w:tcBorders>
            <w:shd w:val="clear" w:color="auto" w:fill="CCEEFF"/>
          </w:tcPr>
          <w:p>
            <w:pPr>
              <w:ind w:left="2220"/>
              <w:spacing w:after="0" w:line="15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r>
      <w:tr>
        <w:trPr>
          <w:trHeight w:val="18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4"/>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2"/>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99,440</w:t>
            </w:r>
          </w:p>
        </w:tc>
      </w:tr>
      <w:tr>
        <w:trPr>
          <w:trHeight w:val="188"/>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Derivative liabilities - commodity derivatives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r>
      <w:tr>
        <w:trPr>
          <w:trHeight w:val="24"/>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2"/>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r>
      <w:tr>
        <w:trPr>
          <w:trHeight w:val="181"/>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82,474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101,808</w:t>
            </w:r>
          </w:p>
        </w:tc>
      </w:tr>
      <w:tr>
        <w:trPr>
          <w:trHeight w:val="24"/>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72"/>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r>
      <w:tr>
        <w:trPr>
          <w:trHeight w:val="188"/>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205,000</w:t>
            </w:r>
          </w:p>
        </w:tc>
      </w:tr>
      <w:tr>
        <w:trPr>
          <w:trHeight w:val="24"/>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2"/>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liabilities - commodity derivatives</w:t>
            </w: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w:t>
            </w:r>
          </w:p>
        </w:tc>
      </w:tr>
      <w:tr>
        <w:trPr>
          <w:trHeight w:val="188"/>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10,693</w:t>
            </w:r>
          </w:p>
        </w:tc>
      </w:tr>
      <w:tr>
        <w:trPr>
          <w:trHeight w:val="24"/>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2"/>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tax liability</w:t>
            </w: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79,946</w:t>
            </w:r>
          </w:p>
        </w:tc>
      </w:tr>
      <w:tr>
        <w:trPr>
          <w:trHeight w:val="181"/>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380,023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299,318</w:t>
            </w:r>
          </w:p>
        </w:tc>
      </w:tr>
      <w:tr>
        <w:trPr>
          <w:trHeight w:val="24"/>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462,497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401,126</w:t>
            </w:r>
          </w:p>
        </w:tc>
      </w:tr>
      <w:tr>
        <w:trPr>
          <w:trHeight w:val="16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r>
      <w:tr>
        <w:trPr>
          <w:trHeight w:val="24"/>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63"/>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$0.0001 par value, 431,000,000 shares authorized, 136,951,676 and 136,417,677 issued at June 30, 2025 and</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88"/>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December 31, 2024, respectively</w:t>
            </w: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8"/>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655,472</w:t>
            </w:r>
          </w:p>
        </w:tc>
      </w:tr>
      <w:tr>
        <w:trPr>
          <w:trHeight w:val="24"/>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2"/>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16,047</w:t>
            </w:r>
          </w:p>
        </w:tc>
      </w:tr>
      <w:tr>
        <w:trPr>
          <w:trHeight w:val="188"/>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 at cost, 5,686,711 and 5,683,921 shares at June 30, 2025 and December 31, 2024, respectively</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(36,180)</w:t>
            </w:r>
          </w:p>
        </w:tc>
      </w:tr>
      <w:tr>
        <w:trPr>
          <w:trHeight w:val="24"/>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635,353</w:t>
            </w:r>
          </w:p>
        </w:tc>
      </w:tr>
      <w:tr>
        <w:trPr>
          <w:trHeight w:val="18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1,104,963</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1,036,479</w:t>
            </w:r>
          </w:p>
        </w:tc>
      </w:tr>
      <w:tr>
        <w:trPr>
          <w:trHeight w:val="24"/>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to these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 share data)</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1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Oil and natural gas sales</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232,150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179,648</w:t>
            </w: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operating expenses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29,148</w:t>
            </w:r>
          </w:p>
        </w:tc>
        <w:tc>
          <w:tcPr>
            <w:tcW w:w="0" w:type="dxa"/>
            <w:vAlign w:val="bottom"/>
          </w:tcPr>
          <w:p>
            <w:pPr>
              <w:spacing w:after="0"/>
              <w:rPr>
                <w:sz w:val="1"/>
                <w:szCs w:val="1"/>
                <w:color w:val="auto"/>
              </w:rPr>
            </w:pPr>
          </w:p>
        </w:tc>
      </w:tr>
      <w:tr>
        <w:trPr>
          <w:trHeight w:val="258"/>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0" w:type="dxa"/>
            <w:vAlign w:val="bottom"/>
          </w:tcPr>
          <w:p>
            <w:pPr>
              <w:spacing w:after="0"/>
              <w:rPr>
                <w:sz w:val="1"/>
                <w:szCs w:val="1"/>
                <w:color w:val="auto"/>
              </w:rPr>
            </w:pPr>
          </w:p>
        </w:tc>
      </w:tr>
      <w:tr>
        <w:trPr>
          <w:trHeight w:val="24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Depletion and accretion expense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82,533</w:t>
            </w:r>
          </w:p>
        </w:tc>
        <w:tc>
          <w:tcPr>
            <w:tcW w:w="0" w:type="dxa"/>
            <w:vAlign w:val="bottom"/>
          </w:tcPr>
          <w:p>
            <w:pPr>
              <w:spacing w:after="0"/>
              <w:rPr>
                <w:sz w:val="1"/>
                <w:szCs w:val="1"/>
                <w:color w:val="auto"/>
              </w:rPr>
            </w:pPr>
          </w:p>
        </w:tc>
      </w:tr>
      <w:tr>
        <w:trPr>
          <w:trHeight w:val="258"/>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Impairments of unproved properties</w:t>
            </w: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4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0" w:type="dxa"/>
            <w:vAlign w:val="bottom"/>
          </w:tcPr>
          <w:p>
            <w:pPr>
              <w:spacing w:after="0"/>
              <w:rPr>
                <w:sz w:val="1"/>
                <w:szCs w:val="1"/>
                <w:color w:val="auto"/>
              </w:rPr>
            </w:pPr>
          </w:p>
        </w:tc>
      </w:tr>
      <w:tr>
        <w:trPr>
          <w:trHeight w:val="258"/>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88,484</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68,765</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168,880</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138,158</w:t>
            </w:r>
          </w:p>
        </w:tc>
        <w:tc>
          <w:tcPr>
            <w:tcW w:w="0" w:type="dxa"/>
            <w:vAlign w:val="bottom"/>
          </w:tcPr>
          <w:p>
            <w:pPr>
              <w:spacing w:after="0"/>
              <w:rPr>
                <w:sz w:val="1"/>
                <w:szCs w:val="1"/>
                <w:color w:val="auto"/>
              </w:rPr>
            </w:pP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income</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41,490</w:t>
            </w:r>
          </w:p>
        </w:tc>
        <w:tc>
          <w:tcPr>
            <w:tcW w:w="0" w:type="dxa"/>
            <w:vAlign w:val="bottom"/>
          </w:tcPr>
          <w:p>
            <w:pPr>
              <w:spacing w:after="0"/>
              <w:rPr>
                <w:sz w:val="1"/>
                <w:szCs w:val="1"/>
                <w:color w:val="auto"/>
              </w:rPr>
            </w:pP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derivatives - commodity derivatives</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4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0" w:type="dxa"/>
            <w:vAlign w:val="bottom"/>
          </w:tcPr>
          <w:p>
            <w:pPr>
              <w:spacing w:after="0"/>
              <w:rPr>
                <w:sz w:val="1"/>
                <w:szCs w:val="1"/>
                <w:color w:val="auto"/>
              </w:rPr>
            </w:pPr>
          </w:p>
        </w:tc>
      </w:tr>
      <w:tr>
        <w:trPr>
          <w:trHeight w:val="258"/>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equity investments</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46"/>
        </w:trPr>
        <w:tc>
          <w:tcPr>
            <w:tcW w:w="5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(loss)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27,842</w:t>
            </w:r>
          </w:p>
        </w:tc>
        <w:tc>
          <w:tcPr>
            <w:tcW w:w="0" w:type="dxa"/>
            <w:vAlign w:val="bottom"/>
          </w:tcPr>
          <w:p>
            <w:pPr>
              <w:spacing w:after="0"/>
              <w:rPr>
                <w:sz w:val="1"/>
                <w:szCs w:val="1"/>
                <w:color w:val="auto"/>
              </w:rPr>
            </w:pPr>
          </w:p>
        </w:tc>
      </w:tr>
      <w:tr>
        <w:trPr>
          <w:trHeight w:val="258"/>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4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5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130,170</w:t>
            </w:r>
          </w:p>
        </w:tc>
        <w:tc>
          <w:tcPr>
            <w:tcW w:w="0" w:type="dxa"/>
            <w:vAlign w:val="bottom"/>
          </w:tcPr>
          <w:p>
            <w:pPr>
              <w:spacing w:after="0"/>
              <w:rPr>
                <w:sz w:val="1"/>
                <w:szCs w:val="1"/>
                <w:color w:val="auto"/>
              </w:rPr>
            </w:pPr>
          </w:p>
        </w:tc>
      </w:tr>
      <w:tr>
        <w:trPr>
          <w:trHeight w:val="258"/>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130,496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130,207</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to these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GRANITE RIDGE RESOURCES, INC. CONDENSED CONSOLIDATED STATEMENTS OF CHANGES IN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274955</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3"/>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Common Stock Issued</w:t>
            </w: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64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0"/>
                <w:szCs w:val="10"/>
                <w:color w:val="auto"/>
              </w:rPr>
            </w:pPr>
          </w:p>
        </w:tc>
        <w:tc>
          <w:tcPr>
            <w:tcW w:w="880" w:type="dxa"/>
            <w:vAlign w:val="bottom"/>
            <w:gridSpan w:val="2"/>
            <w:vMerge w:val="restart"/>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120" w:type="dxa"/>
            <w:vAlign w:val="bottom"/>
            <w:gridSpan w:val="5"/>
            <w:vMerge w:val="continue"/>
          </w:tcPr>
          <w:p>
            <w:pPr>
              <w:spacing w:after="0"/>
              <w:rPr>
                <w:sz w:val="10"/>
                <w:szCs w:val="10"/>
                <w:color w:val="auto"/>
              </w:rPr>
            </w:pPr>
          </w:p>
        </w:tc>
        <w:tc>
          <w:tcPr>
            <w:tcW w:w="1280" w:type="dxa"/>
            <w:vAlign w:val="bottom"/>
            <w:gridSpan w:val="2"/>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0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3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136,418</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655,472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16,047</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635,353</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Grants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Forfeitures of restricted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(14,389)</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(14,389)</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9,812</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9,812</w:t>
            </w:r>
          </w:p>
        </w:tc>
        <w:tc>
          <w:tcPr>
            <w:tcW w:w="0" w:type="dxa"/>
            <w:vAlign w:val="bottom"/>
          </w:tcPr>
          <w:p>
            <w:pPr>
              <w:spacing w:after="0"/>
              <w:rPr>
                <w:sz w:val="1"/>
                <w:szCs w:val="1"/>
                <w:color w:val="auto"/>
              </w:rPr>
            </w:pPr>
          </w:p>
        </w:tc>
      </w:tr>
      <w:tr>
        <w:trPr>
          <w:trHeight w:val="18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136,824</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656,125</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8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(36,196)</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631,413</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Grants of restricted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Forfeitures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25,081</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25,081</w:t>
            </w:r>
          </w:p>
        </w:tc>
        <w:tc>
          <w:tcPr>
            <w:tcW w:w="0" w:type="dxa"/>
            <w:vAlign w:val="bottom"/>
          </w:tcPr>
          <w:p>
            <w:pPr>
              <w:spacing w:after="0"/>
              <w:rPr>
                <w:sz w:val="1"/>
                <w:szCs w:val="1"/>
                <w:color w:val="auto"/>
              </w:rPr>
            </w:pPr>
          </w:p>
        </w:tc>
      </w:tr>
      <w:tr>
        <w:trPr>
          <w:trHeight w:val="20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136,952</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656,520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22,128</w:t>
            </w: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(36,196)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642,466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36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2024</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3"/>
                <w:szCs w:val="13"/>
                <w:color w:val="auto"/>
              </w:rPr>
            </w:pPr>
          </w:p>
        </w:tc>
        <w:tc>
          <w:tcPr>
            <w:tcW w:w="1800" w:type="dxa"/>
            <w:vAlign w:val="bottom"/>
            <w:gridSpan w:val="3"/>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Common Stock Issued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64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0"/>
                <w:szCs w:val="10"/>
                <w:color w:val="auto"/>
              </w:rPr>
            </w:pPr>
          </w:p>
        </w:tc>
        <w:tc>
          <w:tcPr>
            <w:tcW w:w="880" w:type="dxa"/>
            <w:vAlign w:val="bottom"/>
            <w:gridSpan w:val="2"/>
            <w:vMerge w:val="restart"/>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120" w:type="dxa"/>
            <w:vAlign w:val="bottom"/>
            <w:gridSpan w:val="5"/>
            <w:vMerge w:val="continue"/>
          </w:tcPr>
          <w:p>
            <w:pPr>
              <w:spacing w:after="0"/>
              <w:rPr>
                <w:sz w:val="10"/>
                <w:szCs w:val="10"/>
                <w:color w:val="auto"/>
              </w:rPr>
            </w:pPr>
          </w:p>
        </w:tc>
        <w:tc>
          <w:tcPr>
            <w:tcW w:w="1280" w:type="dxa"/>
            <w:vAlign w:val="bottom"/>
            <w:gridSpan w:val="2"/>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0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3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136,041</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653,174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671,645</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Grants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(14,349)</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(14,349)</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16,227</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16,227</w:t>
            </w:r>
          </w:p>
        </w:tc>
        <w:tc>
          <w:tcPr>
            <w:tcW w:w="0" w:type="dxa"/>
            <w:vAlign w:val="bottom"/>
          </w:tcPr>
          <w:p>
            <w:pPr>
              <w:spacing w:after="0"/>
              <w:rPr>
                <w:sz w:val="1"/>
                <w:szCs w:val="1"/>
                <w:color w:val="auto"/>
              </w:rPr>
            </w:pPr>
          </w:p>
        </w:tc>
      </w:tr>
      <w:tr>
        <w:trPr>
          <w:trHeight w:val="24"/>
        </w:trPr>
        <w:tc>
          <w:tcPr>
            <w:tcW w:w="3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136,424</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653,686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56,660</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674,018</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(14,381)</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(14,381)</w:t>
            </w:r>
          </w:p>
        </w:tc>
        <w:tc>
          <w:tcPr>
            <w:tcW w:w="0" w:type="dxa"/>
            <w:vAlign w:val="bottom"/>
          </w:tcPr>
          <w:p>
            <w:pPr>
              <w:spacing w:after="0"/>
              <w:rPr>
                <w:sz w:val="1"/>
                <w:szCs w:val="1"/>
                <w:color w:val="auto"/>
              </w:rPr>
            </w:pPr>
          </w:p>
        </w:tc>
      </w:tr>
      <w:tr>
        <w:trPr>
          <w:trHeight w:val="188"/>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0" w:type="dxa"/>
            <w:vAlign w:val="bottom"/>
          </w:tcPr>
          <w:p>
            <w:pPr>
              <w:spacing w:after="0"/>
              <w:rPr>
                <w:sz w:val="1"/>
                <w:szCs w:val="1"/>
                <w:color w:val="auto"/>
              </w:rPr>
            </w:pPr>
          </w:p>
        </w:tc>
      </w:tr>
      <w:tr>
        <w:trPr>
          <w:trHeight w:val="24"/>
        </w:trPr>
        <w:tc>
          <w:tcPr>
            <w:tcW w:w="3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136,424</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654,269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47,380</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665,321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34,893</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21,327</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Depletion and accretion expense</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101,857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82,533</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Impairments of unproved properties</w:t>
            </w: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(gain) loss on derivatives - commodity derivatives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10,605</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equity investments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15,766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10,275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(decrease) in cash attributable to changes in operating assets and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 receivable</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w:t>
            </w:r>
          </w:p>
        </w:tc>
        <w:tc>
          <w:tcPr>
            <w:tcW w:w="0" w:type="dxa"/>
            <w:vAlign w:val="bottom"/>
          </w:tcPr>
          <w:p>
            <w:pPr>
              <w:spacing w:after="0"/>
              <w:rPr>
                <w:sz w:val="1"/>
                <w:szCs w:val="1"/>
                <w:color w:val="auto"/>
              </w:rPr>
            </w:pPr>
          </w:p>
        </w:tc>
      </w:tr>
      <w:tr>
        <w:trPr>
          <w:trHeight w:val="188"/>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receivable</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3,202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w:t>
            </w:r>
          </w:p>
        </w:tc>
        <w:tc>
          <w:tcPr>
            <w:tcW w:w="0" w:type="dxa"/>
            <w:vAlign w:val="bottom"/>
          </w:tcPr>
          <w:p>
            <w:pPr>
              <w:spacing w:after="0"/>
              <w:rPr>
                <w:sz w:val="1"/>
                <w:szCs w:val="1"/>
                <w:color w:val="auto"/>
              </w:rPr>
            </w:pPr>
          </w:p>
        </w:tc>
      </w:tr>
      <w:tr>
        <w:trPr>
          <w:trHeight w:val="188"/>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1,497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0" w:type="dxa"/>
            <w:vAlign w:val="bottom"/>
          </w:tcPr>
          <w:p>
            <w:pPr>
              <w:spacing w:after="0"/>
              <w:rPr>
                <w:sz w:val="1"/>
                <w:szCs w:val="1"/>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154,134</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132,842</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 expenditures for oil and natural gas properties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(135,874)</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(44,861)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(20,868)</w:t>
            </w: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sale of equity investments</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4,991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 of oil and natural gas properties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w:t>
            </w: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Refund of advances to operators</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3,695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0" w:type="dxa"/>
            <w:vAlign w:val="bottom"/>
          </w:tcPr>
          <w:p>
            <w:pPr>
              <w:spacing w:after="0"/>
              <w:rPr>
                <w:sz w:val="1"/>
                <w:szCs w:val="1"/>
                <w:color w:val="auto"/>
              </w:rPr>
            </w:pPr>
          </w:p>
        </w:tc>
      </w:tr>
      <w:tr>
        <w:trPr>
          <w:trHeight w:val="24"/>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(200,533)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(152,579)</w:t>
            </w:r>
          </w:p>
        </w:tc>
        <w:tc>
          <w:tcPr>
            <w:tcW w:w="0" w:type="dxa"/>
            <w:vAlign w:val="bottom"/>
          </w:tcPr>
          <w:p>
            <w:pPr>
              <w:spacing w:after="0"/>
              <w:rPr>
                <w:sz w:val="1"/>
                <w:szCs w:val="1"/>
                <w:color w:val="auto"/>
              </w:rPr>
            </w:pPr>
          </w:p>
        </w:tc>
      </w:tr>
      <w:tr>
        <w:trPr>
          <w:trHeight w:val="188"/>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borrowing on credit facilities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95,000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Repayments of borrowing on credit facilities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of treasury shares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dividends</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(28,729)</w:t>
            </w:r>
          </w:p>
        </w:tc>
        <w:tc>
          <w:tcPr>
            <w:tcW w:w="0" w:type="dxa"/>
            <w:vAlign w:val="bottom"/>
          </w:tcPr>
          <w:p>
            <w:pPr>
              <w:spacing w:after="0"/>
              <w:rPr>
                <w:sz w:val="1"/>
                <w:szCs w:val="1"/>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40,723</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22,849</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0" w:type="dxa"/>
            <w:vAlign w:val="bottom"/>
          </w:tcPr>
          <w:p>
            <w:pPr>
              <w:spacing w:after="0"/>
              <w:rPr>
                <w:sz w:val="1"/>
                <w:szCs w:val="1"/>
                <w:color w:val="auto"/>
              </w:rPr>
            </w:pPr>
          </w:p>
        </w:tc>
      </w:tr>
      <w:tr>
        <w:trPr>
          <w:trHeight w:val="188"/>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3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10,730</w:t>
            </w:r>
          </w:p>
        </w:tc>
        <w:tc>
          <w:tcPr>
            <w:tcW w:w="0" w:type="dxa"/>
            <w:vAlign w:val="bottom"/>
          </w:tcPr>
          <w:p>
            <w:pPr>
              <w:spacing w:after="0"/>
              <w:rPr>
                <w:sz w:val="1"/>
                <w:szCs w:val="1"/>
                <w:color w:val="auto"/>
              </w:rPr>
            </w:pPr>
          </w:p>
        </w:tc>
      </w:tr>
      <w:tr>
        <w:trPr>
          <w:trHeight w:val="24"/>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restricted cash at end of period</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3,743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activities: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3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accrued capital expenditures included in accounts payable and accrued liabilities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9,165</w:t>
            </w: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Advances to operators applied to development of oil and natural gas properties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72,541</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50,625</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3,743</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13,542</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 included in other long-term assets</w:t>
            </w: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restricted cash</w:t>
            </w: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3,743</w:t>
            </w: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13,842</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to these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Granite Ridge Resources, Inc. (together with its consolidated subsidiaries, “Granite Ridge” or the “Company”), a Delaware corporation, is a scaled energy company which aims to provide shareholders with exposure similar to energy private equity through operated partnerships and traditional non-operated assets in multiple basins throughout North America.</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complete discussion of the Company’s significant accounting policies is included in the 2024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 Basis of Presentation, Consolidation, and Significant Estimates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of America (“U.S. GAAP”). The accompanying condensed consolidated financial statements include the accounts of the Company and all of its wholly owned subsidiaries. All intercompany balances and transactions have been eliminated in consolidation.</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have not been audited by the Company’s independent registered public accounting firm, except that the condensed consolidated balance sheet at December 31, 2024 is derived from audited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 Additional significant estimates include, but are not limited to, fair value of derivative financial instruments, fair value of equity investments, fair value of business combinations, asset retirement obligations, revenue receivable and income taxes. Actual results could differ from those estimates. The results for interim periods are not necessarily indicative of annual results.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2024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period presentation.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operates in one reporting segment, which is oil and natural gas development, exploration and production. All of the Company's operations are conducted in the geographic area of the United States. The reporting segment generates revenue through the sale of oil and natural gas. The Company’s chief operating decision maker (“CODM”), who is the Company’s Chief Executive Officer, manages operations on a consolidated basis for purposes of evaluating operational performance and allocating resources. Net income, as reported within the Company’s condensed consolidated statement of operations, is used by the CODM to assess performance for the oil and natural gas development, exploration and production segment. Significant segment expenses are the same as those reported in the condensed consolidated statement of operations. Total assets, as reported within the Company’s condensed consolidated balance sheets, is the measure of segment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Properties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Company uses the successful efforts method of accounting for oil and natural gas producing activities, as further defined under Accounting Standards Codification ("ASC") 932, </w:t>
      </w:r>
      <w:r>
        <w:rPr>
          <w:rFonts w:ascii="Times New Roman" w:cs="Times New Roman" w:eastAsia="Times New Roman" w:hAnsi="Times New Roman"/>
          <w:sz w:val="18"/>
          <w:szCs w:val="18"/>
          <w:i w:val="1"/>
          <w:iCs w:val="1"/>
          <w:color w:val="auto"/>
        </w:rPr>
        <w:t>Extractive Activities - Oil and Gas</w:t>
      </w:r>
      <w:r>
        <w:rPr>
          <w:rFonts w:ascii="Times New Roman" w:cs="Times New Roman" w:eastAsia="Times New Roman" w:hAnsi="Times New Roman"/>
          <w:sz w:val="18"/>
          <w:szCs w:val="18"/>
          <w:color w:val="auto"/>
        </w:rPr>
        <w:t xml:space="preserve"> (“ASC 932”). Costs to</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$53.2 million and $41.4 million for the three months ended June 30, 2025 and 2024, respectively, and $101.4 million and $82.2 million for the six months ended June 30, 2025 and 2024, respectively.</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is recognized at that time. The fair value of impaired assets is determined using the market or income valuation approach. The income approach is calculated using a discounted cash flow model. Discounted future cash flows use a discount rate similar to that used by market participants, or comparable market value if available. Estimating future cash flows involves the use of judgments, including estimation of the proved and risk-adjusted unproved oil and natural gas reserve quantities, timing of development and production, expected future commodity prices, capital expenditures and production costs. No proved property impairment was recorded for the three or six months ended June 30, 2025 or 2024.</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Unproved oil and natural gas properties are periodically assessed for impairment by considering future drilling and exploration plans, results of exploration activities, commodity price outlooks, planned future sales and expiration of all or a portion of the projects. The Company recorded unproved oil and gas properties impairment of $0.7 million for the six months ended June 30, 2024 in the Permian Basin. No unproved property impairment was recorded for the three and six months ended June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2023, the Company completed the sale of certain of its Permian Basin assets to Vital Energy, Inc. ("Vital Energy") for consideration of 561,752 shares of Vital Energy's common stock and 541,155 shares of Vital Energy's 2.0% cumulative mandatorily convertible preferred securities. On June 4, 2024, the 2.0% cumulative mandatorily convertible preferred securities were converted into the equivalent number of shares of Vital Energy’s common stock. During the second quarter of 2025, the Company divested 342,636 shares of Vital Energy’s common stock and realized a loss on sale of $10.5 million, which is included in loss on equity investments within the Company’s condensed consolidated statements of operations for the three and six months ended June 30, 2025. No common stock or cumulative mandatorily convertible preferred securities were divested during the three and six months ended June 30, 2024. As of June 30, 2025, the Company held 685,271 shares of Vital Energy’s common stock.</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Company follows the guidance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("ASC 321") for its investment in the common and preferred stock of Vital Energy. ASC 321 requires equity investments with readily determinable fair values to be measured at fair value, with unrealized holding gains and losses recorded as a gain or loss in the condensed consolidated statements of operations. For the preferred stock that did not have a readily determinable fair value, the Company did not elect the measurement alternative in ASC 321 and instead accounted for the preferred stock at fair value with unrealized gains and losses recorded through net income for the periods until the preferred stock was converted into common stock. The Company recognized an unrealized gain of $4.7 million and unrealized loss of $5.2 million for the three and six months ended June 30, 2025, respectively, included in loss on equity investments within the Company’s condensed consolidated statements of operations that accounts for the change in fair value of the common stock. For the three and six months ended June 30, 2024, the Company recognized an unrealized loss of $8.8 million and $1.0 million, respectively, that reflects the change in fair value of the common and preferred stock.</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1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Performance obligations are satisfied when the customer obtains control of the product, when the Company has no further obligations to perform related to the sale, when the transaction price has been determined, and when collectability is probable.</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condensed consolidated statements of operations. At the end of each month when the performance obligation is satisfied, the variable consideration can be reasonably estimated and amounts due from customers are accrued in revenue receivable in the condensed consolidated balance sheets. Variances between the Company’s estimated revenue and actual payments are recorded in the month the payment is received; however, differences have been and are insignificant.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Take in Kind Oil and Natural Gas Revenues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certain arrangements, the Company has the right to take a volume of unprocessed gas in kind at the operator's wellhead, representing its proportionate share of its natural gas production, in lieu of receiving a net payment from the operator. The Company currently takes certain natural gas volumes in kind in lieu of monetary settlement. When the Company elects to take volumes in kind, it pays third parties to transport the natural gas it took in 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volumes to downstream customers are recorded in lease operating expenses in the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Oil and Natural Gas Revenues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disaggregated revenue has two primary sources: oil sales and natural gas sales. Substantially all of the Company’s oil and natural gas sales come from six geographic areas in the United States: the Eagle Ford Basin (Texas), the Permian Basin (Texas/New Mexico), the Haynesville Basin (Texas/Louisiana), the Denver-Julesburg “DJ” Basin (Colorado), the Bakken Basin (Montana/North Dakota), and the Appalachian Basin (Ohio). The following tables present</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disaggregation of the Company’s oil and natural gas revenues by basin for the three and six months ended June 30, 2025 and 2024.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77,493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153,259</w:t>
            </w:r>
          </w:p>
        </w:tc>
        <w:tc>
          <w:tcPr>
            <w:tcW w:w="0" w:type="dxa"/>
            <w:vAlign w:val="bottom"/>
          </w:tcPr>
          <w:p>
            <w:pPr>
              <w:spacing w:after="0"/>
              <w:rPr>
                <w:sz w:val="1"/>
                <w:szCs w:val="1"/>
                <w:color w:val="auto"/>
              </w:rPr>
            </w:pPr>
          </w:p>
        </w:tc>
      </w:tr>
      <w:tr>
        <w:trPr>
          <w:trHeight w:val="246"/>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13,159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90,652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56,226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156,993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106,173</w:t>
            </w:r>
          </w:p>
        </w:tc>
        <w:tc>
          <w:tcPr>
            <w:tcW w:w="0" w:type="dxa"/>
            <w:vAlign w:val="bottom"/>
          </w:tcPr>
          <w:p>
            <w:pPr>
              <w:spacing w:after="0"/>
              <w:rPr>
                <w:sz w:val="1"/>
                <w:szCs w:val="1"/>
                <w:color w:val="auto"/>
              </w:rPr>
            </w:pPr>
          </w:p>
        </w:tc>
      </w:tr>
      <w:tr>
        <w:trPr>
          <w:trHeight w:val="24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Eagle Ford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29,528</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Bakken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0" w:type="dxa"/>
            <w:vAlign w:val="bottom"/>
          </w:tcPr>
          <w:p>
            <w:pPr>
              <w:spacing w:after="0"/>
              <w:rPr>
                <w:sz w:val="1"/>
                <w:szCs w:val="1"/>
                <w:color w:val="auto"/>
              </w:rPr>
            </w:pPr>
          </w:p>
        </w:tc>
      </w:tr>
      <w:tr>
        <w:trPr>
          <w:trHeight w:val="24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Haynesville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DJ</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0" w:type="dxa"/>
            <w:vAlign w:val="bottom"/>
          </w:tcPr>
          <w:p>
            <w:pPr>
              <w:spacing w:after="0"/>
              <w:rPr>
                <w:sz w:val="1"/>
                <w:szCs w:val="1"/>
                <w:color w:val="auto"/>
              </w:rPr>
            </w:pPr>
          </w:p>
        </w:tc>
      </w:tr>
      <w:tr>
        <w:trPr>
          <w:trHeight w:val="24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Appalachian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90,652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Applicable Accounting Pronouncements (Issued and Not Yet Adopted)</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740): Improvements to Income Tax Disclosures </w:t>
      </w:r>
      <w:r>
        <w:rPr>
          <w:rFonts w:ascii="Times New Roman" w:cs="Times New Roman" w:eastAsia="Times New Roman" w:hAnsi="Times New Roman"/>
          <w:sz w:val="18"/>
          <w:szCs w:val="18"/>
          <w:color w:val="auto"/>
        </w:rPr>
        <w:t>("ASU 2023-09"), which requires disaggregated information about a reporting entity’s effective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as well as information on income taxes paid. The standard is intended to benefit investors by providing more detailed income tax disclosures that would be useful in making capital allocation decisions. ASU 2023-09 was effective for annual periods beginning after December 15, 2024, with early adoption is permitted. The Company is currently assessing the effect that ASU 2023-09 will have on its disclosures.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enhanced disclosure about specific types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expense captions presented on the face of the consolidated statement of operations as well as disclosures about selling expenses. ASU 2024-03 is effective for annual periods beginning after December 15, 2026 and interim periods beginning after December 15, 2027, with early adoption is permitted. The Company is currently assessing the effect that ASU 2024-03 will have on its disclosures.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speculative trading purposes.</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does not designate its derivative instruments to qualify for hedge accounting. Accordingly, the Company reflects changes in the fair value of its derivative instruments in its condensed consolidated statements of operations as they occur.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Collar Option Contracts and Swaps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derivative financial instruments consist of collar option contracts and swaps.</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spacing w:after="0" w:line="200" w:lineRule="exact"/>
        <w:rPr>
          <w:sz w:val="20"/>
          <w:szCs w:val="20"/>
          <w:color w:val="auto"/>
        </w:rPr>
      </w:pPr>
    </w:p>
    <w:p>
      <w:pPr>
        <w:spacing w:after="0" w:line="33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swap contract allows the Company to receive a fixed price and pay a floating market price to the counterparty for the hedged commodity.</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has master netting agreements on individual derivative instruments with its counterparties and therefore certain amounts may be presented on a net basis in the condensed consolidated balance sheets.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of Derivative Activities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outstanding commodity derivative contracts as of June 30, 2025.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340" w:type="dxa"/>
            <w:vAlign w:val="bottom"/>
          </w:tcPr>
          <w:p>
            <w:pPr>
              <w:spacing w:after="0"/>
              <w:rPr>
                <w:sz w:val="16"/>
                <w:szCs w:val="16"/>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 2025</w:t>
            </w:r>
          </w:p>
        </w:tc>
        <w:tc>
          <w:tcPr>
            <w:tcW w:w="44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4"/>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Collar (oil)</w:t>
            </w: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(Bbl)</w:t>
            </w: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802,210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1,500,210</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2,104,980</w:t>
            </w:r>
          </w:p>
        </w:tc>
        <w:tc>
          <w:tcPr>
            <w:tcW w:w="0" w:type="dxa"/>
            <w:vAlign w:val="bottom"/>
          </w:tcPr>
          <w:p>
            <w:pPr>
              <w:spacing w:after="0"/>
              <w:rPr>
                <w:sz w:val="1"/>
                <w:szCs w:val="1"/>
                <w:color w:val="auto"/>
              </w:rPr>
            </w:pPr>
          </w:p>
        </w:tc>
      </w:tr>
      <w:tr>
        <w:trPr>
          <w:trHeight w:val="24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floor price ($/Bbl)</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8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8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5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ceiling price ($/Bbl)</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0" w:type="dxa"/>
            <w:vAlign w:val="bottom"/>
          </w:tcPr>
          <w:p>
            <w:pPr>
              <w:spacing w:after="0"/>
              <w:rPr>
                <w:sz w:val="1"/>
                <w:szCs w:val="1"/>
                <w:color w:val="auto"/>
              </w:rPr>
            </w:pPr>
          </w:p>
        </w:tc>
      </w:tr>
      <w:tr>
        <w:trPr>
          <w:trHeight w:val="24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Collar (natural gas)</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(Mcf)</w:t>
            </w: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2,441,757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3,820,615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6,262,372</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10,506,446</w:t>
            </w:r>
          </w:p>
        </w:tc>
        <w:tc>
          <w:tcPr>
            <w:tcW w:w="0" w:type="dxa"/>
            <w:vAlign w:val="bottom"/>
          </w:tcPr>
          <w:p>
            <w:pPr>
              <w:spacing w:after="0"/>
              <w:rPr>
                <w:sz w:val="1"/>
                <w:szCs w:val="1"/>
                <w:color w:val="auto"/>
              </w:rPr>
            </w:pPr>
          </w:p>
        </w:tc>
      </w:tr>
      <w:tr>
        <w:trPr>
          <w:trHeight w:val="24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floor price ($/Mcf)</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5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ceiling price ($/Mcf)</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4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Swaps (natural gas)</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(Mcf)</w:t>
            </w: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2,762,450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3,593,800</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4,351,400</w:t>
            </w:r>
          </w:p>
        </w:tc>
        <w:tc>
          <w:tcPr>
            <w:tcW w:w="0" w:type="dxa"/>
            <w:vAlign w:val="bottom"/>
          </w:tcPr>
          <w:p>
            <w:pPr>
              <w:spacing w:after="0"/>
              <w:rPr>
                <w:sz w:val="1"/>
                <w:szCs w:val="1"/>
                <w:color w:val="auto"/>
              </w:rPr>
            </w:pPr>
          </w:p>
        </w:tc>
      </w:tr>
      <w:tr>
        <w:trPr>
          <w:trHeight w:val="24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price ($/Mcf)</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20"/>
                <w:szCs w:val="20"/>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amounts reported as gain (loss) on derivatives - commodity derivatives in the condensed consolidated statements of operations for the three and six months ended June 30, 2025 and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receipts from (payments on) commodity derivatives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derivatives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58"/>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39"/>
        </w:trPr>
        <w:tc>
          <w:tcPr>
            <w:tcW w:w="5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net cash receipts from (payments on) commodity derivatives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0" w:type="dxa"/>
            <w:vAlign w:val="bottom"/>
          </w:tcPr>
          <w:p>
            <w:pPr>
              <w:spacing w:after="0"/>
              <w:rPr>
                <w:sz w:val="1"/>
                <w:szCs w:val="1"/>
                <w:color w:val="auto"/>
              </w:rPr>
            </w:pPr>
          </w:p>
        </w:tc>
      </w:tr>
      <w:tr>
        <w:trPr>
          <w:trHeight w:val="25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derivatives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0" w:type="dxa"/>
            <w:vAlign w:val="bottom"/>
          </w:tcPr>
          <w:p>
            <w:pPr>
              <w:spacing w:after="0"/>
              <w:rPr>
                <w:sz w:val="1"/>
                <w:szCs w:val="1"/>
                <w:color w:val="auto"/>
              </w:rPr>
            </w:pPr>
          </w:p>
        </w:tc>
      </w:tr>
      <w:tr>
        <w:trPr>
          <w:trHeight w:val="258"/>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39"/>
        </w:trPr>
        <w:tc>
          <w:tcPr>
            <w:tcW w:w="5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unrealized gain (loss) on commodity derivatives</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0" w:type="dxa"/>
            <w:vAlign w:val="bottom"/>
          </w:tcPr>
          <w:p>
            <w:pPr>
              <w:spacing w:after="0"/>
              <w:rPr>
                <w:sz w:val="1"/>
                <w:szCs w:val="1"/>
                <w:color w:val="auto"/>
              </w:rPr>
            </w:pPr>
          </w:p>
        </w:tc>
      </w:tr>
      <w:tr>
        <w:trPr>
          <w:trHeight w:val="27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 (loss) on derivatives - commodity derivatives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adopted and follows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for measurement and disclosures about fair value of its financial instruments. ASC 820 establishes a framework for measuring fair value in U.S. GAAP, and expands disclosures about fair value measurements. To increase consistency and comparability in fair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amounts and fair values of the Company’s financial instruments as of June 30, 2025 and December 31, 2024: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4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5"/>
                <w:szCs w:val="15"/>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 - commodity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80" w:type="dxa"/>
            <w:vAlign w:val="bottom"/>
          </w:tcPr>
          <w:p>
            <w:pPr>
              <w:spacing w:after="0"/>
              <w:rPr>
                <w:sz w:val="21"/>
                <w:szCs w:val="21"/>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0" w:type="dxa"/>
            <w:vAlign w:val="bottom"/>
          </w:tcPr>
          <w:p>
            <w:pPr>
              <w:spacing w:after="0"/>
              <w:rPr>
                <w:sz w:val="1"/>
                <w:szCs w:val="1"/>
                <w:color w:val="auto"/>
              </w:rPr>
            </w:pPr>
          </w:p>
        </w:tc>
      </w:tr>
      <w:tr>
        <w:trPr>
          <w:trHeight w:val="265"/>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Pr>
          <w:p>
            <w:pPr>
              <w:spacing w:after="0"/>
              <w:rPr>
                <w:sz w:val="21"/>
                <w:szCs w:val="21"/>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10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 - commodity derivatives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facilities </w:t>
      </w:r>
      <w:r>
        <w:rPr>
          <w:rFonts w:ascii="Times New Roman" w:cs="Times New Roman" w:eastAsia="Times New Roman" w:hAnsi="Times New Roman"/>
          <w:sz w:val="18"/>
          <w:szCs w:val="18"/>
          <w:color w:val="auto"/>
        </w:rPr>
        <w:t>— The carrying amounts of the revolving credit facilities approximate their fair values, as the applicable interest rates are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reflective of market rates.</w:t>
      </w:r>
    </w:p>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financial assets and liabilities </w:t>
      </w:r>
      <w:r>
        <w:rPr>
          <w:rFonts w:ascii="Times New Roman" w:cs="Times New Roman" w:eastAsia="Times New Roman" w:hAnsi="Times New Roman"/>
          <w:sz w:val="18"/>
          <w:szCs w:val="18"/>
          <w:color w:val="auto"/>
        </w:rPr>
        <w:t>— The carrying amounts of the Company’s other financial assets and liabilities, such as revenue receivable and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approximate their fair values because of the short maturity of these instruments.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commodity derivatives </w:t>
      </w:r>
      <w:r>
        <w:rPr>
          <w:rFonts w:ascii="Times New Roman" w:cs="Times New Roman" w:eastAsia="Times New Roman" w:hAnsi="Times New Roman"/>
          <w:sz w:val="18"/>
          <w:szCs w:val="18"/>
          <w:color w:val="auto"/>
        </w:rPr>
        <w:t>— The fair value of the Company’s derivative instruments is estimated by management considering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factors, including closing exchange and over-the-counter quotations and the time value of the underlying commitments. The fair value of the Company’s commodity derivative instruments is considered to be a Level 2 measurement. </w:t>
      </w:r>
      <w:r>
        <w:rPr>
          <w:rFonts w:ascii="Arial" w:cs="Arial" w:eastAsia="Arial" w:hAnsi="Arial"/>
          <w:sz w:val="15"/>
          <w:szCs w:val="15"/>
          <w:color w:val="auto"/>
        </w:rPr>
        <w:t>S</w:t>
      </w:r>
      <w:r>
        <w:rPr>
          <w:rFonts w:ascii="Times New Roman" w:cs="Times New Roman" w:eastAsia="Times New Roman" w:hAnsi="Times New Roman"/>
          <w:sz w:val="18"/>
          <w:szCs w:val="18"/>
          <w:color w:val="auto"/>
        </w:rPr>
        <w:t>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various inputs including: (i) quoted forward prices for commodities, (ii) current market and contractual prices for the underlying instruments, (iii) applicable credit-adjusted risk-free rate curves, as well as other relevant economic measures.</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Equity investment</w:t>
      </w:r>
      <w:r>
        <w:rPr>
          <w:rFonts w:ascii="Times New Roman" w:cs="Times New Roman" w:eastAsia="Times New Roman" w:hAnsi="Times New Roman"/>
          <w:sz w:val="17"/>
          <w:szCs w:val="17"/>
          <w:color w:val="auto"/>
        </w:rPr>
        <w:t>s — The fair value of the Company’s investment in Vital Energy's common stock was valued using the instrument's publicly listed trading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which is considered to be a Level 1 measurement due to the use of an observable market quote in an active market. The fair value of the Company's investment in Vital Energy's preferred stock was estimated by management considering various factors, including the publicly listed trading price of Vital Energy's common shares and the present value of expected dividends prior to the conversion of the preferred shares. The fair value of the investment in preferred stock was considered to be a Level 2 measurement. Substantially all of these inputs are observable in the marketplace throughout the full term of the instrument, can be derived from observable data, or are supported by observable levels at which transactions are executed in the marketplace.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4, 2024, the 2.0% cumulative mandatorily convertible preferred securities of Vital Energy were converted into 541,155 shares of common stock of Vital Energy. Prior to this conversion, the common shares of Vital Energy owned by the Company were not entitled to vote and bore a restricted legend to that effect. As of June 30, 2025 and December 31, 2024, the Company held 685,271 and 1,027,907 shares, respectively, of Vital Energy’s common stock, for which the fair value is a Level 1 measurement.</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 consolidated balance sheets as of June 30, 2025 and December 31, 2024. The Company nets the fair value of commodity derivative instruments by counterparty in the Company’s 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2"/>
                <w:szCs w:val="2"/>
                <w:color w:val="auto"/>
              </w:rPr>
            </w:pPr>
          </w:p>
        </w:tc>
        <w:tc>
          <w:tcPr>
            <w:tcW w:w="11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Net Fair Value</w:t>
            </w:r>
          </w:p>
        </w:tc>
        <w:tc>
          <w:tcPr>
            <w:tcW w:w="0" w:type="dxa"/>
            <w:vAlign w:val="bottom"/>
          </w:tcPr>
          <w:p>
            <w:pPr>
              <w:spacing w:after="0"/>
              <w:rPr>
                <w:sz w:val="1"/>
                <w:szCs w:val="1"/>
                <w:color w:val="auto"/>
              </w:rPr>
            </w:pPr>
          </w:p>
        </w:tc>
      </w:tr>
      <w:tr>
        <w:trPr>
          <w:trHeight w:val="141"/>
        </w:trPr>
        <w:tc>
          <w:tcPr>
            <w:tcW w:w="3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3"/>
                <w:szCs w:val="13"/>
                <w:color w:val="auto"/>
              </w:rPr>
            </w:pPr>
          </w:p>
        </w:tc>
        <w:tc>
          <w:tcPr>
            <w:tcW w:w="1120" w:type="dxa"/>
            <w:vAlign w:val="bottom"/>
          </w:tcPr>
          <w:p>
            <w:pPr>
              <w:jc w:val="center"/>
              <w:ind w:right="39"/>
              <w:spacing w:after="0" w:line="159"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Condensed</w:t>
            </w:r>
          </w:p>
        </w:tc>
        <w:tc>
          <w:tcPr>
            <w:tcW w:w="120" w:type="dxa"/>
            <w:vAlign w:val="bottom"/>
          </w:tcPr>
          <w:p>
            <w:pPr>
              <w:spacing w:after="0"/>
              <w:rPr>
                <w:sz w:val="13"/>
                <w:szCs w:val="13"/>
                <w:color w:val="auto"/>
              </w:rPr>
            </w:pPr>
          </w:p>
        </w:tc>
        <w:tc>
          <w:tcPr>
            <w:tcW w:w="1120" w:type="dxa"/>
            <w:vAlign w:val="bottom"/>
          </w:tcPr>
          <w:p>
            <w:pPr>
              <w:jc w:val="center"/>
              <w:ind w:right="39"/>
              <w:spacing w:after="0" w:line="15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Total Fair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4"/>
                <w:szCs w:val="14"/>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4"/>
        </w:trPr>
        <w:tc>
          <w:tcPr>
            <w:tcW w:w="3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00" w:type="dxa"/>
            <w:vAlign w:val="bottom"/>
          </w:tcPr>
          <w:p>
            <w:pPr>
              <w:spacing w:after="0"/>
              <w:rPr>
                <w:sz w:val="21"/>
                <w:szCs w:val="21"/>
                <w:color w:val="auto"/>
              </w:rPr>
            </w:pP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0" w:type="dxa"/>
            <w:vAlign w:val="bottom"/>
          </w:tcPr>
          <w:p>
            <w:pPr>
              <w:spacing w:after="0"/>
              <w:rPr>
                <w:sz w:val="1"/>
                <w:szCs w:val="1"/>
                <w:color w:val="auto"/>
              </w:rPr>
            </w:pPr>
          </w:p>
        </w:tc>
      </w:tr>
      <w:tr>
        <w:trPr>
          <w:trHeight w:val="258"/>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 – noncurrent portion</w:t>
            </w: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4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46"/>
        </w:trPr>
        <w:tc>
          <w:tcPr>
            <w:tcW w:w="3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Commodity derivatives – noncurrent portion</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27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11"/>
        </w:trPr>
        <w:tc>
          <w:tcPr>
            <w:tcW w:w="3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2"/>
                <w:szCs w:val="2"/>
                <w:color w:val="auto"/>
              </w:rPr>
            </w:pPr>
          </w:p>
        </w:tc>
        <w:tc>
          <w:tcPr>
            <w:tcW w:w="112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Net Fair Value</w:t>
            </w:r>
          </w:p>
        </w:tc>
        <w:tc>
          <w:tcPr>
            <w:tcW w:w="0" w:type="dxa"/>
            <w:vAlign w:val="bottom"/>
          </w:tcPr>
          <w:p>
            <w:pPr>
              <w:spacing w:after="0"/>
              <w:rPr>
                <w:sz w:val="1"/>
                <w:szCs w:val="1"/>
                <w:color w:val="auto"/>
              </w:rPr>
            </w:pPr>
          </w:p>
        </w:tc>
      </w:tr>
      <w:tr>
        <w:trPr>
          <w:trHeight w:val="141"/>
        </w:trPr>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3"/>
                <w:szCs w:val="13"/>
                <w:color w:val="auto"/>
              </w:rPr>
            </w:pPr>
          </w:p>
        </w:tc>
        <w:tc>
          <w:tcPr>
            <w:tcW w:w="1120" w:type="dxa"/>
            <w:vAlign w:val="bottom"/>
          </w:tcPr>
          <w:p>
            <w:pPr>
              <w:jc w:val="center"/>
              <w:ind w:right="41"/>
              <w:spacing w:after="0" w:line="159"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Condensed</w:t>
            </w:r>
          </w:p>
        </w:tc>
        <w:tc>
          <w:tcPr>
            <w:tcW w:w="120" w:type="dxa"/>
            <w:vAlign w:val="bottom"/>
          </w:tcPr>
          <w:p>
            <w:pPr>
              <w:spacing w:after="0"/>
              <w:rPr>
                <w:sz w:val="13"/>
                <w:szCs w:val="13"/>
                <w:color w:val="auto"/>
              </w:rPr>
            </w:pPr>
          </w:p>
        </w:tc>
        <w:tc>
          <w:tcPr>
            <w:tcW w:w="1120" w:type="dxa"/>
            <w:vAlign w:val="bottom"/>
          </w:tcPr>
          <w:p>
            <w:pPr>
              <w:jc w:val="center"/>
              <w:ind w:right="41"/>
              <w:spacing w:after="0" w:line="15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Total Fair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4"/>
                <w:szCs w:val="14"/>
                <w:color w:val="auto"/>
              </w:rPr>
            </w:pP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1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4"/>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21"/>
                <w:szCs w:val="21"/>
                <w:color w:val="auto"/>
              </w:rPr>
            </w:pP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71"/>
        </w:trPr>
        <w:tc>
          <w:tcPr>
            <w:tcW w:w="3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46"/>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Commodity derivatives – noncurrent portion</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 Nonrecurring</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 The fair value measurements of asset retirement obligations are measured on a nonrecurring basis when a well is drilled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or when production equipment and facilities are installed or acquired using a discounted cash flow model based on inputs that are not observable in the market and therefore represent Level 3 inputs. Significant inputs to the fair value measurement of asset retirement obligations include estimates of the costs of plugging and abandoning oil and natural gas wells, removing production equipment and facilities and restoring the surface of the land as well as estimates of the economic lives of the oil and natural gas wells and future inflation rates.</w:t>
      </w:r>
    </w:p>
    <w:p>
      <w:pPr>
        <w:spacing w:after="0" w:line="18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During the six months ended June 30, 2025 and 2024, the Company acquired various oil and natural gas properties. The following table presents the cumulative adjusted purchase price of transactions accounted for as asset acquisitions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by basin included in oil and gas properties on the Company’s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720" w:type="dxa"/>
            <w:vAlign w:val="bottom"/>
          </w:tcPr>
          <w:p>
            <w:pPr>
              <w:jc w:val="right"/>
              <w:ind w:right="8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66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w:t>
            </w: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w:t>
            </w:r>
          </w:p>
        </w:tc>
        <w:tc>
          <w:tcPr>
            <w:tcW w:w="0" w:type="dxa"/>
            <w:vAlign w:val="bottom"/>
          </w:tcPr>
          <w:p>
            <w:pPr>
              <w:spacing w:after="0"/>
              <w:rPr>
                <w:sz w:val="1"/>
                <w:szCs w:val="1"/>
                <w:color w:val="auto"/>
              </w:rPr>
            </w:pPr>
          </w:p>
        </w:tc>
      </w:tr>
      <w:tr>
        <w:trPr>
          <w:trHeight w:val="225"/>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DJ</w:t>
            </w:r>
          </w:p>
        </w:tc>
        <w:tc>
          <w:tcPr>
            <w:tcW w:w="54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Appalachian</w:t>
            </w:r>
          </w:p>
        </w:tc>
        <w:tc>
          <w:tcPr>
            <w:tcW w:w="5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44,431</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during the six months ended June 30, 2024, the Company recorded closing adjustments that reduced the acquisition price of business combinations completed during 2023 by $1.1 million.</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divested of certain proved and unproved properties for total proceeds of $0.2 million and $2.9 million, respectively. During the six months ended June 30, 2025, proceeds from the divested unproved properties of $0.1 million resulted in a gain on sale, which is included in other, net in the condensed consolidated statements of operations.</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 Incentive Plan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Granite Ridge Resources, Inc. 2022 Omnibus Incentive Plan (the “Plan”) provides the Company the ability to grant, among other award types, stock options, restricted stock awards, and performance stock units ("PSUs") to directors, officers, employees and consultants or advisors employed by or providing service to the Company.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granted restricted stock awards, stock options, and PSUs. Stock-based compensation expense during the three and six months ended June 30, 2025 was $0.4 million and $1.0 million, respectively. Stock-based compensation expense during the three and six months ended June 30, 2024 was $0.6 million and $1.1 million, respectively.</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 The Company grants service-based restricted stock awards to certain of its employees and consultants under the Plan,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vest ratably over a period of three years or cliff vest at the end of five years, and to non-employee directors, which vest in full after one year. Restricted stock awards are valued at the closing price of the Company's common stock on the date of grant. All restricted shares are legally issued and outstanding. If an employee terminates employment prior to the restriction lapse date, the awarded shares are forfeited and canceled and are no longer considered issued and outstanding. For restricted stock awards granted prior to March 2025, the holders of such unvested restricted stock awards have voting rights and the right to receive dividends. For restricted stock awards granted in March 2025 and thereafter, the holders of such unvested restricted stock awards do not have voting rights but do have the right to receive dividends. The Company recognizes compensation expense utilizing graded vesting whereby compensation expense is recognized over the service period for each separately vesting tranche.</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PSUs </w:t>
      </w:r>
      <w:r>
        <w:rPr>
          <w:rFonts w:ascii="Times New Roman" w:cs="Times New Roman" w:eastAsia="Times New Roman" w:hAnsi="Times New Roman"/>
          <w:sz w:val="18"/>
          <w:szCs w:val="18"/>
          <w:color w:val="auto"/>
        </w:rPr>
        <w:t>- The Company grants PSUs to certain of its officers under the Plan. PSUs represent the contingent right to receive shares of the Company’s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once the PSU is vested and earned. PSUs, other than those granted during the three months ended June 30, 2025, cliff vest at the end of three years, generally subject to continued employment through the performance period. The total number of shares eligible to be earned may range from zero to 200% of the target number of PSUs granted, determined based upon achievement of certain "financial performance" and "market performance" criteria for the Company and individual performance criteria for the officers awarded PSUs. Financial performance is based on the Company's financial performance at the end of the applicable performance period, while market performance is based on the relative standing of total shareholder return (“TSR”) achieved by the Company compared to the TSR achieved by a predetermined group of peer companies at the end of the applicable performance period. Individual performance criteria is based on the officers' performance relative to individual performance goals at the end of the performance period. The Company utilizes the Monte Carlo simulation method to determine the fair value of the PSUs based on market performance, while PSUs based on financial performance are valued using the closing price of the Company's common stock on the date of grant.</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During the three months ended June 30, 2025, the Company granted 644,330 PSUs to certain of its officers under the Plan. These PSUs are eligible to vest, generally subject to continued employment, upon the satisfaction of certain stock price thresholds during the performance period, which ends on December 31, 2032. Each PSU represents the contingent right to receive one share of common stock once the PSU is earned. Each PSU is earned based on whether the Company’s stock price achieves a target average stock price for any 20 consecutive trading days during the performance period. If the stock price thresholds are not met by the end of the performance period, the PSUs will be forfeited and no shares of common stock will be issued. Compensation expense for these awards is based on the grant date fair market value of the award, calculated using a Monte Carlo simulation, and such costs are recorded on a straight-line basis over the derived requisite service period for each separately vesting portion of the award, as if the award was, in-substance, multiple awards, as applicable.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 The Company grants stock options to certain of its officers under the Plan. The Company's outstanding stock options expire 10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date of grant. Pursuant to the stock options granted under the Plan, 33% of the options vest immediately with an additional 33% to vest on each of the next two anniversaries of the date of the grant, generally subject to continued employment through each such vesting date. During the first quarter of 2025, the Company granted 110,257 stock options with an exercise price of $5.61 per share. During the first quarter of 2024, the Company granted 134,375 stock options with an exercise price per share of $6.06.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 The Company may issue other awards to its employees and consultants under the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8"/>
          <w:szCs w:val="18"/>
          <w:color w:val="auto"/>
        </w:rPr>
        <w:t>A summary of the Company’s activity under the Plan for the restricted stock awards, PSUs and stock options for the six months ended June 30, 2025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Restricted Stock</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6"/>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6"/>
                <w:szCs w:val="16"/>
                <w:color w:val="auto"/>
              </w:rPr>
            </w:pPr>
          </w:p>
        </w:tc>
        <w:tc>
          <w:tcPr>
            <w:tcW w:w="12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4"/>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526,483</w:t>
            </w:r>
          </w:p>
        </w:tc>
      </w:tr>
      <w:tr>
        <w:trPr>
          <w:trHeight w:val="252"/>
        </w:trPr>
        <w:tc>
          <w:tcPr>
            <w:tcW w:w="6600" w:type="dxa"/>
            <w:vAlign w:val="bottom"/>
          </w:tcPr>
          <w:p>
            <w:pPr>
              <w:ind w:left="180"/>
              <w:spacing w:after="0" w:line="251" w:lineRule="exact"/>
              <w:rPr>
                <w:sz w:val="20"/>
                <w:szCs w:val="20"/>
                <w:color w:val="auto"/>
              </w:rPr>
            </w:pPr>
            <w:r>
              <w:rPr>
                <w:rFonts w:ascii="Times New Roman" w:cs="Times New Roman" w:eastAsia="Times New Roman" w:hAnsi="Times New Roman"/>
                <w:sz w:val="18"/>
                <w:szCs w:val="18"/>
                <w:color w:val="auto"/>
              </w:rPr>
              <w:t>Awards granted</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110,257</w:t>
            </w:r>
          </w:p>
        </w:tc>
      </w:tr>
      <w:tr>
        <w:trPr>
          <w:trHeight w:val="252"/>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canceled/forfeited</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(68,777)</w:t>
            </w:r>
          </w:p>
        </w:tc>
      </w:tr>
      <w:tr>
        <w:trPr>
          <w:trHeight w:val="252"/>
        </w:trPr>
        <w:tc>
          <w:tcPr>
            <w:tcW w:w="6600" w:type="dxa"/>
            <w:vAlign w:val="bottom"/>
          </w:tcPr>
          <w:p>
            <w:pPr>
              <w:ind w:left="180"/>
              <w:spacing w:after="0" w:line="251" w:lineRule="exact"/>
              <w:rPr>
                <w:sz w:val="20"/>
                <w:szCs w:val="20"/>
                <w:color w:val="auto"/>
              </w:rPr>
            </w:pPr>
            <w:r>
              <w:rPr>
                <w:rFonts w:ascii="Times New Roman" w:cs="Times New Roman" w:eastAsia="Times New Roman" w:hAnsi="Times New Roman"/>
                <w:sz w:val="18"/>
                <w:szCs w:val="18"/>
                <w:color w:val="auto"/>
              </w:rPr>
              <w:t>Awards vested</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719,407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567,963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Weighted average grant date fair value per share / unit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7" w:lineRule="exact"/>
        <w:rPr>
          <w:sz w:val="20"/>
          <w:szCs w:val="20"/>
          <w:color w:val="auto"/>
        </w:rPr>
      </w:pPr>
    </w:p>
    <w:p>
      <w:pPr>
        <w:ind w:left="20" w:right="180" w:firstLine="4"/>
        <w:spacing w:after="0" w:line="234"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and PSUs vested during the period. During the six months ended June 30, 2025, 212,249 stock options vested. As of June 30, 2025, there were a total of 518,444 stock options exercisable.</w:t>
      </w:r>
    </w:p>
    <w:p>
      <w:pPr>
        <w:spacing w:after="0" w:line="299"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8"/>
          <w:szCs w:val="18"/>
          <w:color w:val="auto"/>
        </w:rPr>
        <w:t>A summary of the Company’s activity under the Plan for the restricted stock awards, PSUs and stock options for the six months ended June 30, 2024 is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Restricted Stock</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186"/>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6"/>
                <w:szCs w:val="16"/>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4"/>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392,108</w:t>
            </w:r>
          </w:p>
        </w:tc>
      </w:tr>
      <w:tr>
        <w:trPr>
          <w:trHeight w:val="252"/>
        </w:trPr>
        <w:tc>
          <w:tcPr>
            <w:tcW w:w="6600" w:type="dxa"/>
            <w:vAlign w:val="bottom"/>
          </w:tcPr>
          <w:p>
            <w:pPr>
              <w:ind w:left="180"/>
              <w:spacing w:after="0" w:line="251" w:lineRule="exact"/>
              <w:rPr>
                <w:sz w:val="20"/>
                <w:szCs w:val="20"/>
                <w:color w:val="auto"/>
              </w:rPr>
            </w:pPr>
            <w:r>
              <w:rPr>
                <w:rFonts w:ascii="Times New Roman" w:cs="Times New Roman" w:eastAsia="Times New Roman" w:hAnsi="Times New Roman"/>
                <w:sz w:val="18"/>
                <w:szCs w:val="18"/>
                <w:color w:val="auto"/>
              </w:rPr>
              <w:t>Awards granted</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134,375</w:t>
            </w:r>
          </w:p>
        </w:tc>
      </w:tr>
      <w:tr>
        <w:trPr>
          <w:trHeight w:val="252"/>
        </w:trPr>
        <w:tc>
          <w:tcPr>
            <w:tcW w:w="6600" w:type="dxa"/>
            <w:vAlign w:val="bottom"/>
            <w:shd w:val="clear" w:color="auto" w:fill="CCEEFF"/>
          </w:tcPr>
          <w:p>
            <w:pPr>
              <w:ind w:left="180"/>
              <w:spacing w:after="0" w:line="251" w:lineRule="exact"/>
              <w:rPr>
                <w:sz w:val="20"/>
                <w:szCs w:val="20"/>
                <w:color w:val="auto"/>
              </w:rPr>
            </w:pPr>
            <w:r>
              <w:rPr>
                <w:rFonts w:ascii="Times New Roman" w:cs="Times New Roman" w:eastAsia="Times New Roman" w:hAnsi="Times New Roman"/>
                <w:sz w:val="18"/>
                <w:szCs w:val="18"/>
                <w:color w:val="auto"/>
              </w:rPr>
              <w:t>Awards vested</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97,532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526,483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Weighted average grant date fair value per share / unit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ind w:left="20" w:right="180" w:firstLine="4"/>
        <w:spacing w:after="0" w:line="231" w:lineRule="auto"/>
        <w:tabs>
          <w:tab w:leader="none" w:pos="2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and PSUs vested during the period. During the six months ended June 30, 2024, 175,493 stock options vested. As of June 30, 2024, there were a total of 306,195 stock options exercisable.</w:t>
      </w:r>
    </w:p>
    <w:p>
      <w:pPr>
        <w:spacing w:after="0" w:line="28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C corporation and subject to U.S. federal, state, and local income taxes. The Company records income taxes through the use of an estimated annual effective tax rate and specific events that are discretely recognized as they occur. For the three and six months ended June 30, 2025, the Company recorded income tax expense of $7.8 million and $10.7 million, respectively. For the three and six months ended June 30, 2024, the Company recorded income tax expense of $1.7 million and $6.5 million, respectively.</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At the end of each interim period, the Company applies an estimated annualized effective tax rate to the current period income or loss before income taxes, which can produce interim effective tax rate fluctuations. The Company’s effective income tax rate was 23.7% and 23.4% for the three and six months ended June 30, 2025, respectively. For the three and six months ended June 30, 2024, the Company’s effective income tax rate was 24.8% and 23.4%, respectively. The effective tax rate differs from the enacted statutory rate of 21% primarily due to the impact of certain discrete items and state income taxes.</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evaluated all tax positions for which the statute of limitations remains open and believes that the material positions taken would more likely than not be sustained upon examination. Therefore, as of June 30, 2025 and December 31, 2024, the Company had no unrecognized tax benefits and did not recognize any interest or penalties during those respective periods related to unrecognized tax benefits.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July 4, 2025, President Trump signed the One Big Beautiful Bill Act (“OBBBA”) into law. The OBBBA includes, among other things, a permanent extension of 100% bonus depreciation for certain capital expenditures and modifications to the interest expense limitation under Section 163(j).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effects of the tax law are recognized in the period of enactment and therefore not reflected in the Company’s unaudited condensed</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consolidated financial statements for the three and six months ended June 30, 2025. The Company is evaluating the potential tax impacts of the OBBBA on the consolidated financial statements.</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total debt was $275.0 million and $205.0 million at June 30, 2025 and December 31, 2024,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Granite Ridge Credit Agreement</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24, 2022, Granite Ridge entered into a senior secured revolving credit agreement (as amended, the “Credit Agreement”) with a syndicate of banks, currently led by Bank of America, N.A., as administrative agent. The Credit Agreement has a maturity date of five years from the effective date thereof, or October 24, 2027.</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borrowing base is redetermined semiannually on or about April 1 and October 1 of each calendar year, and is subject to additional adjustments from time to time, including for asset sales, elimination or reduction of hedge positions and incurrence of other debt.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April 29, 2025, the Company and its lenders entered into the Fifth Amendment to Credit Agreement, which amended the Credit Agreement to, among other things, (a) increase the borrowing base from $325.0 million to $375.0 million, and (b) increase the aggregate elected commitments from $325.0 million to $375.0 million.</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June 30, 2025, the Company had outstanding borrowings of $275.0 million and $0.3 million of letters of credit issued and outstanding under the Credit Agreement, resulting in availability of $99.7 million. The Credit Agreement is guaranteed by the restricted subsidiaries of Granite Ridge and is secured by a first priority mortgage and security interest in substantially all of the Company’s and its restricted subsidiaries’ assets.</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also pays a commitment fee on unused elected commitment amounts under its facility of 50 basis points. The Company may repay any amounts borrowed under the Credit Agreement prior to the maturity date without any premium or penalty.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contains certain financial covenants, including the maintenance of the following financial ratios:</w:t>
      </w:r>
    </w:p>
    <w:p>
      <w:pPr>
        <w:spacing w:after="0" w:line="217" w:lineRule="exact"/>
        <w:rPr>
          <w:sz w:val="20"/>
          <w:szCs w:val="20"/>
          <w:color w:val="auto"/>
        </w:rPr>
      </w:pPr>
    </w:p>
    <w:p>
      <w:pPr>
        <w:ind w:left="960" w:hanging="636"/>
        <w:spacing w:after="0" w:line="274" w:lineRule="auto"/>
        <w:tabs>
          <w:tab w:leader="none" w:pos="9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ratio, which is the ratio of Consolidated Total Debt to EBITDAX (each as defined in the Credit Agreement), of not greater than 3.00 to 1.00 as of the last day of any fiscal quarter, and</w:t>
      </w:r>
    </w:p>
    <w:p>
      <w:pPr>
        <w:spacing w:after="0" w:line="16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Ratio (as defined in the Credit Agreement), of not less than 1.00 to 1.00 as of the last day of each fiscal quarter.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the Company was in compliance with all covenants required by the Credit Agreement.</w:t>
      </w: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Common Stock Dividends </w:t>
      </w:r>
      <w:r>
        <w:rPr>
          <w:rFonts w:ascii="Times New Roman" w:cs="Times New Roman" w:eastAsia="Times New Roman" w:hAnsi="Times New Roman"/>
          <w:sz w:val="18"/>
          <w:szCs w:val="18"/>
          <w:color w:val="auto"/>
        </w:rPr>
        <w:t>- The Company paid dividends of $14.4 million, or $0.11 per share, and $28.8 million, or $0.22 per share during the three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respectively. For the three and six months ended June 30, 2024, the Company paid dividends of $14.4 million, or $0.11 per share, and $28.7 million, or $0.22 per share, respectively. Any payment of future dividends will be at the discretion of the Company’s Board of Directors.</w:t>
      </w:r>
    </w:p>
    <w:p>
      <w:pPr>
        <w:spacing w:after="0" w:line="1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Upon formation in 2022, Granite Ridge entered into a Management Services Agreement (the "MSA") with Grey Rock Administration, LLC (the “Manager”). Under the MSA, the Manager provides general management, administrative, and operating services covering the oil and gas assets and other properties of the Company and other day-to-day business and affairs of the Company. In accordance with the MSA, the Company pays the Manager an annual services fee of $10.0 million and reimburses the Manager for certain Granite Ridge group costs related to the operation of the Company’s assets (including for third party costs allocated or attributable to the assets of the Company).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and six months ended June 30, 2025, service fees for the Company under the MSA were approximately $2.5 million and $5.0 million, respectively, and are included in general and administrative expenses within the accompanying condensed consolidated statements of operations. For the three and six months ended June 30, 2024, service fees for the Company under the MSA of $2.5 million and $5.0 million, respectively, were consistent with the same periods of 2025.</w:t>
      </w:r>
    </w:p>
    <w:p>
      <w:pPr>
        <w:spacing w:after="0" w:line="17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Risk Concentrations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operations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Derivative Counterparties </w:t>
      </w:r>
      <w:r>
        <w:rPr>
          <w:rFonts w:ascii="Times New Roman" w:cs="Times New Roman" w:eastAsia="Times New Roman" w:hAnsi="Times New Roman"/>
          <w:sz w:val="18"/>
          <w:szCs w:val="18"/>
          <w:color w:val="auto"/>
        </w:rPr>
        <w:t>- The Company uses credit and other financial criteria to evaluate the creditworthiness of counterparties to its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The Company believes that all of its derivative counterparties are currently acceptable credit risks. All of the Company’s outstanding derivative instruments are covered by International Swap Dealers Association Master Agreements (“ISDAs”) entered into with parties that are also lenders under the Company’s Credit Agreement. The Company’s obligations under the derivative instruments are secured pursuant to the Credit Agreement, and no additional collateral has been posted by the Company.</w:t>
      </w:r>
    </w:p>
    <w:p>
      <w:pPr>
        <w:spacing w:after="0" w:line="1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1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Company uses the two-class method of calculating earnings per share because certain of the Company’s unvested stock-based awards qualify as participating securities.</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basic earnings (loss) per share attributable to common stockholders is computed as (i) net income (loss) as reported, (ii) less participating basic earnings (iii) divided by weighted average basic common shares outstanding. The</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basic and diluted earnings per share computations for the three and six months ended June 30, 2025 and 2024: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0" w:type="dxa"/>
            <w:vAlign w:val="bottom"/>
          </w:tcPr>
          <w:p>
            <w:pPr>
              <w:spacing w:after="0"/>
              <w:rPr>
                <w:sz w:val="1"/>
                <w:szCs w:val="1"/>
                <w:color w:val="auto"/>
              </w:rPr>
            </w:pPr>
          </w:p>
        </w:tc>
      </w:tr>
      <w:tr>
        <w:trPr>
          <w:trHeight w:val="252"/>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Participating basic earnings (a)</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2"/>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earnings attributable to common stockholders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0" w:type="dxa"/>
            <w:vAlign w:val="bottom"/>
          </w:tcPr>
          <w:p>
            <w:pPr>
              <w:spacing w:after="0"/>
              <w:rPr>
                <w:sz w:val="1"/>
                <w:szCs w:val="1"/>
                <w:color w:val="auto"/>
              </w:rPr>
            </w:pPr>
          </w:p>
        </w:tc>
      </w:tr>
      <w:tr>
        <w:trPr>
          <w:trHeight w:val="25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attributable to common stockholders</w:t>
            </w: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130,170</w:t>
            </w:r>
          </w:p>
        </w:tc>
        <w:tc>
          <w:tcPr>
            <w:tcW w:w="0" w:type="dxa"/>
            <w:vAlign w:val="bottom"/>
          </w:tcPr>
          <w:p>
            <w:pPr>
              <w:spacing w:after="0"/>
              <w:rPr>
                <w:sz w:val="1"/>
                <w:szCs w:val="1"/>
                <w:color w:val="auto"/>
              </w:rPr>
            </w:pPr>
          </w:p>
        </w:tc>
      </w:tr>
      <w:tr>
        <w:trPr>
          <w:trHeight w:val="258"/>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Dilutive performance stock units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6"/>
        </w:trPr>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Dilutive stock options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50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130,496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52"/>
        </w:trPr>
        <w:tc>
          <w:tcPr>
            <w:tcW w:w="50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20" w:right="240" w:firstLine="4"/>
        <w:spacing w:after="0" w:line="259" w:lineRule="auto"/>
        <w:tabs>
          <w:tab w:leader="none" w:pos="2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is a summary of the PSUs and stock options, which were not included in the computation of diluted earnings per share, as inclusion of these items would be antidilutive.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6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1"/>
        </w:trPr>
        <w:tc>
          <w:tcPr>
            <w:tcW w:w="5040" w:type="dxa"/>
            <w:vAlign w:val="bottom"/>
          </w:tcPr>
          <w:p>
            <w:pPr>
              <w:spacing w:after="0"/>
              <w:rPr>
                <w:sz w:val="15"/>
                <w:szCs w:val="15"/>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antidilutive common shares:</w:t>
            </w: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4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Antidilutive performance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250,566</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56,555</w:t>
            </w:r>
          </w:p>
        </w:tc>
      </w:tr>
      <w:tr>
        <w:trPr>
          <w:trHeight w:val="258"/>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Antidilutive stock options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621,624</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511,706</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584,765</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474,389</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common shares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872,190</w:t>
            </w:r>
          </w:p>
        </w:tc>
        <w:tc>
          <w:tcPr>
            <w:tcW w:w="8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610,112</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719,176</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530,944</w:t>
            </w:r>
          </w:p>
        </w:tc>
      </w:tr>
      <w:tr>
        <w:trPr>
          <w:trHeight w:val="26"/>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Board of Directors declared a regular quarterly cash dividend of $0.11 for the third quarter of 2025. The dividend will be paid on September 15, 2025 to stockholders of record as of August 29, 2025.</w:t>
      </w:r>
    </w:p>
    <w:p>
      <w:pPr>
        <w:spacing w:after="0" w:line="200" w:lineRule="exact"/>
        <w:rPr>
          <w:sz w:val="20"/>
          <w:szCs w:val="20"/>
          <w:color w:val="auto"/>
        </w:rPr>
      </w:pPr>
    </w:p>
    <w:p>
      <w:pPr>
        <w:spacing w:after="0" w:line="36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GRANITE RIDGE RESOURCES,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Supplementary Data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Costs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0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Oil and natural gas properties:</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Proved</w:t>
            </w: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1,659,865</w:t>
            </w:r>
          </w:p>
        </w:tc>
        <w:tc>
          <w:tcPr>
            <w:tcW w:w="8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1,484,968</w:t>
            </w:r>
          </w:p>
        </w:tc>
        <w:tc>
          <w:tcPr>
            <w:tcW w:w="0" w:type="dxa"/>
            <w:vAlign w:val="bottom"/>
          </w:tcPr>
          <w:p>
            <w:pPr>
              <w:spacing w:after="0"/>
              <w:rPr>
                <w:sz w:val="1"/>
                <w:szCs w:val="1"/>
                <w:color w:val="auto"/>
              </w:rPr>
            </w:pPr>
          </w:p>
        </w:tc>
      </w:tr>
      <w:tr>
        <w:trPr>
          <w:trHeight w:val="258"/>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Unproved</w:t>
            </w: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55,053</w:t>
            </w:r>
          </w:p>
        </w:tc>
        <w:tc>
          <w:tcPr>
            <w:tcW w:w="0" w:type="dxa"/>
            <w:vAlign w:val="bottom"/>
          </w:tcPr>
          <w:p>
            <w:pPr>
              <w:spacing w:after="0"/>
              <w:rPr>
                <w:sz w:val="1"/>
                <w:szCs w:val="1"/>
                <w:color w:val="auto"/>
              </w:rPr>
            </w:pPr>
          </w:p>
        </w:tc>
      </w:tr>
      <w:tr>
        <w:trPr>
          <w:trHeight w:val="246"/>
        </w:trPr>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depletion</w:t>
            </w:r>
          </w:p>
        </w:tc>
        <w:tc>
          <w:tcPr>
            <w:tcW w:w="9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(744,463)</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(643,051)</w:t>
            </w:r>
          </w:p>
        </w:tc>
        <w:tc>
          <w:tcPr>
            <w:tcW w:w="0" w:type="dxa"/>
            <w:vAlign w:val="bottom"/>
          </w:tcPr>
          <w:p>
            <w:pPr>
              <w:spacing w:after="0"/>
              <w:rPr>
                <w:sz w:val="1"/>
                <w:szCs w:val="1"/>
                <w:color w:val="auto"/>
              </w:rPr>
            </w:pPr>
          </w:p>
        </w:tc>
      </w:tr>
      <w:tr>
        <w:trPr>
          <w:trHeight w:val="265"/>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capitalized costs for oil and natural gas properties</w:t>
            </w: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989,218</w:t>
            </w:r>
          </w:p>
        </w:tc>
        <w:tc>
          <w:tcPr>
            <w:tcW w:w="8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896,970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Costs Incurred for Oil and Natural Gas Producing Activities</w:t>
            </w:r>
          </w:p>
        </w:tc>
        <w:tc>
          <w:tcPr>
            <w:tcW w:w="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50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060" w:type="dxa"/>
            <w:vAlign w:val="bottom"/>
          </w:tcPr>
          <w:p>
            <w:pPr>
              <w:spacing w:after="0"/>
              <w:rPr>
                <w:sz w:val="24"/>
                <w:szCs w:val="24"/>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6"/>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60" w:type="dxa"/>
            <w:vAlign w:val="bottom"/>
            <w:vMerge w:val="continue"/>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5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Proved</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100" w:type="dxa"/>
            <w:vAlign w:val="bottom"/>
          </w:tcPr>
          <w:p>
            <w:pPr>
              <w:spacing w:after="0"/>
              <w:rPr>
                <w:sz w:val="21"/>
                <w:szCs w:val="21"/>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58"/>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Unproved</w:t>
            </w: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18,596</w:t>
            </w:r>
          </w:p>
        </w:tc>
        <w:tc>
          <w:tcPr>
            <w:tcW w:w="0" w:type="dxa"/>
            <w:vAlign w:val="bottom"/>
          </w:tcPr>
          <w:p>
            <w:pPr>
              <w:spacing w:after="0"/>
              <w:rPr>
                <w:sz w:val="1"/>
                <w:szCs w:val="1"/>
                <w:color w:val="auto"/>
              </w:rPr>
            </w:pPr>
          </w:p>
        </w:tc>
      </w:tr>
      <w:tr>
        <w:trPr>
          <w:trHeight w:val="24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77,185</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66,951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148,587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129,590</w:t>
            </w:r>
          </w:p>
        </w:tc>
        <w:tc>
          <w:tcPr>
            <w:tcW w:w="0" w:type="dxa"/>
            <w:vAlign w:val="bottom"/>
          </w:tcPr>
          <w:p>
            <w:pPr>
              <w:spacing w:after="0"/>
              <w:rPr>
                <w:sz w:val="1"/>
                <w:szCs w:val="1"/>
                <w:color w:val="auto"/>
              </w:rPr>
            </w:pPr>
          </w:p>
        </w:tc>
      </w:tr>
      <w:tr>
        <w:trPr>
          <w:trHeight w:val="270"/>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costs incurred for oil and natural gas properties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85,743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5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98"/>
        </w:trPr>
        <w:tc>
          <w:tcPr>
            <w:tcW w:w="50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Conditions and Results of Operations</w:t>
      </w:r>
    </w:p>
    <w:p>
      <w:pPr>
        <w:spacing w:after="0" w:line="219"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10-Q.</w:t>
      </w:r>
    </w:p>
    <w:p>
      <w:pPr>
        <w:spacing w:after="0" w:line="123" w:lineRule="exact"/>
        <w:rPr>
          <w:sz w:val="20"/>
          <w:szCs w:val="20"/>
          <w:color w:val="auto"/>
        </w:rPr>
      </w:pPr>
    </w:p>
    <w:p>
      <w:pPr>
        <w:jc w:val="both"/>
        <w:ind w:firstLine="318"/>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The following discussion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Also, please read the risk factors and other cautionary statements described under “Part I, Item 1A. Risk Factors” in our Annual Report on Form 10-K for the year ended December 31, 2024 (the "2024 Form 10-K") and elsewhere in this Report. We assume no obligation to update any of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except as required by applicable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Granite Ridge is a scaled energy company which aims to provide shareholders with exposure similar to energy private equity through operated partnerships and traditional non-operated assets. We own assets in six prolific unconventional basins across the United States. We aim to deliver a diversified portfolio with best-in-class full cycle returns by investing in a large number of high-graded opportunities developed by proven public and private operators. We focus on success as measured by total shareholder returns, which we seek to balance with a low leverage profile.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Factors That Affect Our Operating Results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revenues, cash flows from operations and future growth depend substantially upon:</w:t>
      </w:r>
    </w:p>
    <w:p>
      <w:pPr>
        <w:spacing w:after="0" w:line="217"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and success of drilling and production activities by our operating partners;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prices and the supply and demand for oil and natural gas;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quantity of oil and natural gas production from the wells in which we participate;</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the fair value of the derivative instruments we use to reduce our exposure to fluctuations in the price of oil and natural gas;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continue to identify and acquire high-quality acreage and drilling opportunities;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our operating expenses.</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factors that affect companies in our industry generally, the location of substantially all of our acreage in the Eagle Ford, Permian, Bakken, Haynesville, Denver-Julesburg, and Appalachian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price of oil and natural gas can vary depending on the market in which it is sold and the means of transportation used to transport the oil and natural gas to market.</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oil price differential to the NYMEX benchmark price during the three months ended June 30, 2025 and 2024 was a discount of $(3.16) per barrel and $(3.97) per barrel, respectively. For the six months ended June 30, 2025 and 2024, our</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 price differential to the NYMEX benchmark price was a discount of $(3.01) per barrel and $(1.68) per barrel, respectively.</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natural gas price differential to the average NYMEX price during the three months ended June 30, 2025 and 2024 was a discount of $(0.87) per Mcf and $(0.09) per Mcf, respectively. For the six months ended June 30, 2025 and 2024, our natural gas price differential to the average NYMEX price was a discount of $(0.55) per Mcf and $(0.20) per Mcf,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Historically, commodity prices have been volatile, and we expect that volatility to continue in the future. 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Prices for various quantities of oil and natural gas that we produce significantly impact our revenues and cash flows. The following table lists average NYMEX spot prices for oil and natural gas for the three and six months ended June 30, 2025 and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2"/>
        </w:trPr>
        <w:tc>
          <w:tcPr>
            <w:tcW w:w="552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Average NYMEX Prices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Oil (per Bbl)</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r>
      <w:tr>
        <w:trPr>
          <w:trHeight w:val="252"/>
        </w:trPr>
        <w:tc>
          <w:tcPr>
            <w:tcW w:w="55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Natural gas (per Mcf)</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Based on average NYMEX spot prices.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
        </w:trPr>
        <w:tc>
          <w:tcPr>
            <w:tcW w:w="5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8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 the three months ended June 30, 2025, the average NYMEX oil pricing was $64.57 per barrel of oil, or 21% lower than the average NYMEX price per barrel for the three months ended June 30, 2024. Our settled derivatives increased our realized oil price per barrel by $0.49 for the three months ended June 30, 2025 and decreased our realized oil price per barrel by $0.38 for the three months ended June 30, 2024. For the three months ended June 30, 2025, our average realized oil price per barrel after reflecting settled derivatives was $61.90 compared to $77.46 for the three months ended June 30, 2024. For the six months ended June 30, 2025, the average NYMEX oil pricing was $68.12 per barrel of oil, or 15% lower than the average NYMEX price per barrel for the six months ended June 30, 2024. Our settled derivatives increased our realized oil price per barrel by $0.23 for the six months ended June 30, 2025 and decreased our realized oil price per barrel by $0.14 for the six months ended June 30, 2024. For the six months ended June 30, 2025, our average realized oil price per barrel after reflecting settled derivatives was $65.34 compared to $77.87 for the six months ended June 30, 2024.</w:t>
      </w:r>
    </w:p>
    <w:p>
      <w:pPr>
        <w:spacing w:after="0" w:line="190"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For the three months ended June 30, 2025, the average NYMEX natural gas pricing was $3.19 per Mcf, or 54% higher than the average NYMEX price per Mcf for the three months ended June 30, 2024. Our settled derivatives increased our realized natural gas price per Mcf by $0.03 for the three months ended June 30, 2025 and increased our realized natural gas price per Mcf by $0.65 for the three months ended June 30, 2024. For the three months ended June 30, 2025, our average realized natural gas price per Mcf after reflecting settled derivatives was $2.35 compared to $2.63 for the three months ended June 30, 2024. For the six months ended June 30, 2025, the average NYMEX natural gas pricing was $3.66 per Mcf, or 73% higher than the average NYMEX price per Mcf for the six months ended June 30, 2024. Our settled derivatives increased our realized natural gas price per Mcf by $0.01 for the six months ended June 30, 2025 and increased our realized natural gas price per Mcf by $0.50 for the six months ended June 30, 2024. For the six months ended June 30, 2025, our average realized natural gas price per Mcf after reflecting settled derivatives was $3.12 compared to $2.41 for the six months ended June 30, 2024.</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summary production and operating data for the periods indicated. Because of normal production declines, increased or decreased drilling activities, fluctuations in commodity prices and the effects of</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divestitures, the historical information presented below should not be interpreted as being indicative of future results.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50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(in thousands):</w:t>
            </w:r>
          </w:p>
        </w:tc>
        <w:tc>
          <w:tcPr>
            <w:tcW w:w="9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88"/>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Oil sales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89,462</w:t>
            </w:r>
          </w:p>
        </w:tc>
        <w:tc>
          <w:tcPr>
            <w:tcW w:w="100" w:type="dxa"/>
            <w:vAlign w:val="bottom"/>
          </w:tcPr>
          <w:p>
            <w:pPr>
              <w:spacing w:after="0"/>
              <w:rPr>
                <w:sz w:val="16"/>
                <w:szCs w:val="16"/>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77,493</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181,309</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153,259</w:t>
            </w: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Natural gas and related product sales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19,757</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26,389</w:t>
            </w:r>
          </w:p>
        </w:tc>
      </w:tr>
      <w:tr>
        <w:trPr>
          <w:trHeight w:val="181"/>
        </w:trPr>
        <w:tc>
          <w:tcPr>
            <w:tcW w:w="5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900" w:type="dxa"/>
            <w:vAlign w:val="bottom"/>
            <w:tcBorders>
              <w:top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109,219</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90,652</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232,150</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179,648</w:t>
            </w: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5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8"/>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Production:</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(MBbl)</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r>
      <w:tr>
        <w:trPr>
          <w:trHeight w:val="188"/>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Natural gas (MMcf)</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13,845</w:t>
            </w:r>
          </w:p>
        </w:tc>
      </w:tr>
      <w:tr>
        <w:trPr>
          <w:trHeight w:val="24"/>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506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4"/>
                <w:szCs w:val="14"/>
                <w:color w:val="auto"/>
              </w:rPr>
              <w:t>Total (MBoe)</w:t>
            </w:r>
            <w:r>
              <w:rPr>
                <w:rFonts w:ascii="Times New Roman" w:cs="Times New Roman" w:eastAsia="Times New Roman" w:hAnsi="Times New Roman"/>
                <w:sz w:val="18"/>
                <w:szCs w:val="18"/>
                <w:color w:val="auto"/>
                <w:vertAlign w:val="superscript"/>
              </w:rPr>
              <w:t>(1)</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w:t>
            </w:r>
          </w:p>
        </w:tc>
      </w:tr>
      <w:tr>
        <w:trPr>
          <w:trHeight w:val="188"/>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Production:</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(Bbl)</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16,009</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10,795</w:t>
            </w:r>
          </w:p>
        </w:tc>
      </w:tr>
      <w:tr>
        <w:trPr>
          <w:trHeight w:val="188"/>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Natural gas (Mcf)</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93,404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76,074</w:t>
            </w:r>
          </w:p>
        </w:tc>
      </w:tr>
      <w:tr>
        <w:trPr>
          <w:trHeight w:val="24"/>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506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4"/>
                <w:szCs w:val="14"/>
                <w:color w:val="auto"/>
              </w:rPr>
              <w:t>Total (Boe)</w:t>
            </w:r>
            <w:r>
              <w:rPr>
                <w:rFonts w:ascii="Times New Roman" w:cs="Times New Roman" w:eastAsia="Times New Roman" w:hAnsi="Times New Roman"/>
                <w:sz w:val="18"/>
                <w:szCs w:val="18"/>
                <w:color w:val="auto"/>
                <w:vertAlign w:val="superscript"/>
              </w:rPr>
              <w:t>(1)</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23,474</w:t>
            </w:r>
          </w:p>
        </w:tc>
      </w:tr>
      <w:tr>
        <w:trPr>
          <w:trHeight w:val="212"/>
        </w:trPr>
        <w:tc>
          <w:tcPr>
            <w:tcW w:w="5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Sales Prices:</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88"/>
        </w:trPr>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Oil (per Bbl)</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100" w:type="dxa"/>
            <w:vAlign w:val="bottom"/>
          </w:tcPr>
          <w:p>
            <w:pPr>
              <w:spacing w:after="0"/>
              <w:rPr>
                <w:sz w:val="16"/>
                <w:szCs w:val="16"/>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77.84</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65.11</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w:t>
            </w: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gain (loss) on settled oil derivatives on average price (per Bbl)</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205"/>
        </w:trPr>
        <w:tc>
          <w:tcPr>
            <w:tcW w:w="5060" w:type="dxa"/>
            <w:vAlign w:val="bottom"/>
          </w:tcPr>
          <w:p>
            <w:pPr>
              <w:ind w:left="100"/>
              <w:spacing w:after="0" w:line="205" w:lineRule="exact"/>
              <w:rPr>
                <w:sz w:val="20"/>
                <w:szCs w:val="20"/>
                <w:color w:val="auto"/>
              </w:rPr>
            </w:pPr>
            <w:r>
              <w:rPr>
                <w:rFonts w:ascii="Times New Roman" w:cs="Times New Roman" w:eastAsia="Times New Roman" w:hAnsi="Times New Roman"/>
                <w:sz w:val="14"/>
                <w:szCs w:val="14"/>
                <w:color w:val="auto"/>
              </w:rPr>
              <w:t>Oil net of settled oil derivatives (per Bbl)</w:t>
            </w:r>
            <w:r>
              <w:rPr>
                <w:rFonts w:ascii="Times New Roman" w:cs="Times New Roman" w:eastAsia="Times New Roman" w:hAnsi="Times New Roman"/>
                <w:sz w:val="18"/>
                <w:szCs w:val="18"/>
                <w:color w:val="auto"/>
                <w:vertAlign w:val="superscript"/>
              </w:rPr>
              <w:t>(2)</w:t>
            </w:r>
          </w:p>
        </w:tc>
        <w:tc>
          <w:tcPr>
            <w:tcW w:w="900" w:type="dxa"/>
            <w:vAlign w:val="bottom"/>
            <w:tcBorders>
              <w:top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61.90</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65.34</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77.87</w:t>
            </w:r>
          </w:p>
        </w:tc>
      </w:tr>
      <w:tr>
        <w:trPr>
          <w:trHeight w:val="252"/>
        </w:trPr>
        <w:tc>
          <w:tcPr>
            <w:tcW w:w="50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88"/>
        </w:trPr>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Natural gas sales (per Mcf)</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gain on settled natural gas derivatives on average price (per Mcf)</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r>
      <w:tr>
        <w:trPr>
          <w:trHeight w:val="205"/>
        </w:trPr>
        <w:tc>
          <w:tcPr>
            <w:tcW w:w="5060" w:type="dxa"/>
            <w:vAlign w:val="bottom"/>
          </w:tcPr>
          <w:p>
            <w:pPr>
              <w:ind w:left="100"/>
              <w:spacing w:after="0" w:line="205" w:lineRule="exact"/>
              <w:rPr>
                <w:sz w:val="20"/>
                <w:szCs w:val="20"/>
                <w:color w:val="auto"/>
              </w:rPr>
            </w:pPr>
            <w:r>
              <w:rPr>
                <w:rFonts w:ascii="Times New Roman" w:cs="Times New Roman" w:eastAsia="Times New Roman" w:hAnsi="Times New Roman"/>
                <w:sz w:val="14"/>
                <w:szCs w:val="14"/>
                <w:color w:val="auto"/>
              </w:rPr>
              <w:t>Natural gas sales net of settled natural gas derivatives (per Mcf)</w:t>
            </w:r>
            <w:r>
              <w:rPr>
                <w:rFonts w:ascii="Times New Roman" w:cs="Times New Roman" w:eastAsia="Times New Roman" w:hAnsi="Times New Roman"/>
                <w:sz w:val="18"/>
                <w:szCs w:val="18"/>
                <w:color w:val="auto"/>
                <w:vertAlign w:val="superscript"/>
              </w:rPr>
              <w:t>(2)</w:t>
            </w:r>
          </w:p>
        </w:tc>
        <w:tc>
          <w:tcPr>
            <w:tcW w:w="900" w:type="dxa"/>
            <w:vAlign w:val="bottom"/>
            <w:tcBorders>
              <w:top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265"/>
        </w:trPr>
        <w:tc>
          <w:tcPr>
            <w:tcW w:w="50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188"/>
        </w:trPr>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price on a Boe basis excluding settled commodity derivatives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100" w:type="dxa"/>
            <w:vAlign w:val="bottom"/>
          </w:tcPr>
          <w:p>
            <w:pPr>
              <w:spacing w:after="0"/>
              <w:rPr>
                <w:sz w:val="16"/>
                <w:szCs w:val="16"/>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w:t>
            </w: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gain on settled commodity derivatives on average price (per Boe)</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05"/>
        </w:trPr>
        <w:tc>
          <w:tcPr>
            <w:tcW w:w="5060" w:type="dxa"/>
            <w:vAlign w:val="bottom"/>
          </w:tcPr>
          <w:p>
            <w:pPr>
              <w:ind w:left="100"/>
              <w:spacing w:after="0" w:line="205" w:lineRule="exact"/>
              <w:rPr>
                <w:sz w:val="20"/>
                <w:szCs w:val="20"/>
                <w:color w:val="auto"/>
              </w:rPr>
            </w:pPr>
            <w:r>
              <w:rPr>
                <w:rFonts w:ascii="Times New Roman" w:cs="Times New Roman" w:eastAsia="Times New Roman" w:hAnsi="Times New Roman"/>
                <w:sz w:val="14"/>
                <w:szCs w:val="14"/>
                <w:color w:val="auto"/>
              </w:rPr>
              <w:t>Realized price on a Boe basis including settled commodity derivatives</w:t>
            </w:r>
            <w:r>
              <w:rPr>
                <w:rFonts w:ascii="Times New Roman" w:cs="Times New Roman" w:eastAsia="Times New Roman" w:hAnsi="Times New Roman"/>
                <w:sz w:val="18"/>
                <w:szCs w:val="18"/>
                <w:color w:val="auto"/>
                <w:vertAlign w:val="superscript"/>
              </w:rPr>
              <w:t>(2)</w:t>
            </w:r>
          </w:p>
        </w:tc>
        <w:tc>
          <w:tcPr>
            <w:tcW w:w="900" w:type="dxa"/>
            <w:vAlign w:val="bottom"/>
            <w:tcBorders>
              <w:top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43.61</w:t>
            </w:r>
          </w:p>
        </w:tc>
      </w:tr>
      <w:tr>
        <w:trPr>
          <w:trHeight w:val="252"/>
        </w:trPr>
        <w:tc>
          <w:tcPr>
            <w:tcW w:w="50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188"/>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 (in thousands):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operating expenses</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20,118</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29,148</w:t>
            </w:r>
          </w:p>
        </w:tc>
      </w:tr>
      <w:tr>
        <w:trPr>
          <w:trHeight w:val="188"/>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12,630</w:t>
            </w: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Depletion and accretion expense</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53,412</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101,857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82,533</w:t>
            </w:r>
          </w:p>
        </w:tc>
      </w:tr>
      <w:tr>
        <w:trPr>
          <w:trHeight w:val="188"/>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13,115</w:t>
            </w: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 (per Boe):</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88"/>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 operating expenses</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88"/>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Depletion and accretion</w:t>
            </w: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100" w:type="dxa"/>
            <w:vAlign w:val="bottom"/>
          </w:tcPr>
          <w:p>
            <w:pPr>
              <w:spacing w:after="0"/>
              <w:rPr>
                <w:sz w:val="16"/>
                <w:szCs w:val="16"/>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r>
      <w:tr>
        <w:trPr>
          <w:trHeight w:val="24"/>
        </w:trPr>
        <w:tc>
          <w:tcPr>
            <w:tcW w:w="5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88"/>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Producing Wells at Period-End:</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1" w:lineRule="exact"/>
        <w:rPr>
          <w:sz w:val="20"/>
          <w:szCs w:val="20"/>
          <w:color w:val="auto"/>
        </w:rPr>
      </w:pPr>
    </w:p>
    <w:p>
      <w:pPr>
        <w:ind w:left="340" w:hanging="316"/>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is converted to Boe using the ratio of one barrel of oil to six Mcf of natural gas.</w:t>
      </w:r>
    </w:p>
    <w:p>
      <w:pPr>
        <w:spacing w:after="0" w:line="22" w:lineRule="exact"/>
        <w:rPr>
          <w:rFonts w:ascii="Times New Roman" w:cs="Times New Roman" w:eastAsia="Times New Roman" w:hAnsi="Times New Roman"/>
          <w:sz w:val="14"/>
          <w:szCs w:val="14"/>
          <w:color w:val="auto"/>
        </w:rPr>
      </w:pPr>
    </w:p>
    <w:p>
      <w:pPr>
        <w:jc w:val="both"/>
        <w:ind w:left="340" w:right="20" w:hanging="316"/>
        <w:spacing w:after="0" w:line="255"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presentation of realized prices including settled commodity derivatives is a result of including the net cash receipts from (payments on) commodity derivatives that are presented in the footnotes to our condensed consolidated financial statements.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Natural Gas and Related Product Sales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revenues vary from year to year primarily due to changes in realized commodity prices and production volumes. Our oil and natural gas sales for the three months ended June 30, 2025 increased 20% from the same period in 2024. Oil revenues for the three months ended June 30, 2025 increased by 15% compared to the same period in 2024, driven by a 46% increase in production, partially offset by a 21% decrease in realized prices, excluding the effect of settled commodity derivatives. Natural gas revenues increased by 50% for the three months ended June 30, 2025 compared to 2024, driven by a 17% increase in realized natural gas prices, excluding the effect of settled commodity derivatives, and a 28% increase in production.</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oil and natural gas sales for the six months ended June 30, 2025 increased 29% from the same period in 2024. Oil revenues for the first half of 2025 increased by 18% compared to the same period in 2024, driven by a 42% increase in production, partially offset by a 17% decrease in realized prices, excluding the effect of settled commodity derivatives. Natural gas revenues increased by 93% for the first half of 2025 compared to 2024 as a result of a 63% increase in realized natural gas prices, excluding the effect of settled commodity derivatives, and an 18% increase in production.</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Production from oil and gas properties increased as a result of drilling success and the acquisition of additional net revenue interests. The number of wells we participated in increased from 191.94 net wells on June 30, 2024 to 227.42 net wells on June 30,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Operating Expenses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Lease operating expenses were $20.1 million ($7.00 per Boe) for the three months ended June 30, 2025, an increase of 47% from $13.7 million ($6.50 per</w:t>
      </w:r>
    </w:p>
    <w:p>
      <w:pPr>
        <w:spacing w:after="0" w:line="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Boe) during the same period in 2024. The increase was primarily due to an increase in well count due to acquisitions and additional wells successfully drilled and completed, resulting in an increase in saltwater disposal costs of $1.9 million, or 58%, and an overall increase in service costs.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Lease operating expenses were $36.4 million ($6.60 per Boe) for the six months ended June 30, 2025, an increase of 25% from $29.1 million ($6.82 per Boe) during the same period in 2024. The increase was primarily due to an increase in production as a result of increased well count, resulting in increased saltwater disposal costs, facilities costs and an overall increase in cost of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generally pay production taxes based on realized oil and natural gas sales. Production taxes were $5.3 million ($1.86 per Boe) for the three months ended June 30, 2025 compared to $5.4 million ($2.59 per Boe) during the same period in 2024. As a percentage of oil and natural gas sales, our production taxes were 5% and 6% during the three months ended June 30, 2025 and 2024, respectively.</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Production taxes were $11.9 million ($2.16 per Boe) for the six months ended June 30, 2025 compared to $9.7 million ($2.28 per Boe) during the same period in 2024. As a percentage of oil and natural gas sales, our production taxes were 5% during both the six months ended June 30, 2025 and 2024.</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Production taxes fluctuate with the market value of our production sold, while ad valorem taxes are generally based on the valuation of our oil and natural gas properties at the beginning of the year, which vary across the different areas in which we operate.</w:t>
      </w:r>
    </w:p>
    <w:p>
      <w:pPr>
        <w:spacing w:after="0" w:line="203" w:lineRule="exact"/>
        <w:rPr>
          <w:sz w:val="20"/>
          <w:szCs w:val="20"/>
          <w:color w:val="auto"/>
        </w:rPr>
      </w:pPr>
    </w:p>
    <w:p>
      <w:pPr>
        <w:jc w:val="both"/>
        <w:ind w:firstLine="318"/>
        <w:spacing w:after="0" w:line="320" w:lineRule="auto"/>
        <w:rPr>
          <w:sz w:val="20"/>
          <w:szCs w:val="20"/>
          <w:color w:val="auto"/>
        </w:rPr>
      </w:pPr>
      <w:r>
        <w:rPr>
          <w:rFonts w:ascii="Times New Roman" w:cs="Times New Roman" w:eastAsia="Times New Roman" w:hAnsi="Times New Roman"/>
          <w:sz w:val="18"/>
          <w:szCs w:val="18"/>
          <w:color w:val="auto"/>
        </w:rPr>
        <w:t>Ad valorem taxes were $1.1 million and $2.9 million for the three and six months ended June 30, 2025, respectively, compared to $1.4 million and $2.9 million during the same periods in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Depletion and Accretion</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Depletion and accretion was $53.4 million ($18.59 per Boe) for the three months ended June 30, 2025, an increase of 28% from $41.6 million ($19.78 per Boe) during the same period in 2024. The increase in depletion and accretion expense was primarily due to the increase in depletion expense resulting from the increase in production.</w:t>
      </w:r>
    </w:p>
    <w:p>
      <w:pPr>
        <w:spacing w:after="0" w:line="200" w:lineRule="exact"/>
        <w:rPr>
          <w:sz w:val="20"/>
          <w:szCs w:val="20"/>
          <w:color w:val="auto"/>
        </w:rPr>
      </w:pPr>
    </w:p>
    <w:p>
      <w:pPr>
        <w:spacing w:after="0" w:line="34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Depletion and accretion was $101.9 million ($18.50 per Boe) for the six months ended June 30, 2025, an increase of 23% from $82.5 million ($19.32 per Boe) during the same period in 2024. The increase in depletion and accretion expense was primarily due to the increase in production.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Unproved Properties</w:t>
      </w:r>
    </w:p>
    <w:p>
      <w:pPr>
        <w:spacing w:after="0" w:line="221"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No impairment of unproved properties was recorded for the three months ended June 30, 2025 and 2024. In the first quarter of 2024, we recognized impairment expense of $0.7 million on unproved properties in the Permian Basin as the operator of those properties no longer intends to drill certain locations. During the six months ended June 30, 2025 no impairment of unproved properties was recorded.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components of our general and administrative expenses for the three and six months ended June 30, 2025 and 2024: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500" w:type="dxa"/>
            <w:vAlign w:val="bottom"/>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60" w:type="dxa"/>
            <w:vAlign w:val="bottom"/>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0" w:type="dxa"/>
            <w:vAlign w:val="bottom"/>
          </w:tcPr>
          <w:p>
            <w:pPr>
              <w:spacing w:after="0"/>
              <w:rPr>
                <w:sz w:val="1"/>
                <w:szCs w:val="1"/>
                <w:color w:val="auto"/>
              </w:rPr>
            </w:pPr>
          </w:p>
        </w:tc>
      </w:tr>
      <w:tr>
        <w:trPr>
          <w:trHeight w:val="246"/>
        </w:trPr>
        <w:tc>
          <w:tcPr>
            <w:tcW w:w="5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76"/>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Total general and administrative expenses were $8.5 million ($2.96 per Boe) for the three months ended June 30, 2025, an increase of 29% from $6.6 million ($3.15 per Boe) during the same period in 2024. The increase was primarily due to severance expense incurred during the period as a result of a management transition as well as expenses related to capital market activities.</w:t>
      </w:r>
    </w:p>
    <w:p>
      <w:pPr>
        <w:spacing w:after="0" w:line="178"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Total general and administrative expenses were $16.0 million ($2.90 per Boe) for the six months ended June 30, 2025, an increase of 22% from $13.1 million ($3.07 per Boe) during the same period in 2024. The increase was primarily due to severance expense incurred during the period as a result of a management transition as well as expenses related to capital market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Gain/(Loss) on Derivatives – Commodity Derivatives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gain (loss) on derivatives for the three and six months ended June 30, 2025 and 2024:</w:t>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22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receipts from (payments on) commodity derivatives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derivatives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8"/>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9"/>
        </w:trPr>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cash receipts from (payments on) commodity derivatives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derivatives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8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8"/>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9"/>
        </w:trPr>
        <w:tc>
          <w:tcPr>
            <w:tcW w:w="56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unrealized gain (loss) on commodity derivatives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 (loss) on derivatives - commodity derivatives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w:t>
      </w:r>
    </w:p>
    <w:p>
      <w:pPr>
        <w:spacing w:after="0" w:line="200" w:lineRule="exact"/>
        <w:rPr>
          <w:sz w:val="20"/>
          <w:szCs w:val="20"/>
          <w:color w:val="auto"/>
        </w:rPr>
      </w:pPr>
    </w:p>
    <w:p>
      <w:pPr>
        <w:spacing w:after="0" w:line="36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expense was $5.9 million for the three months ended June 30, 2025 compared to $5.8 million for the three months ended June 30, 2024. The increase in interest expense during the three months ended June 30, 2025 as compared to 2024 was primarily due to a higher average outstanding balance on the revolving credit facility, partially offset by a decrease in interest rates during 2025.</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expense was $10.9 million for the six months ended June 30, 2025 compared to $9.0 million for the six months ended June 30, 2024. The increase in interest expense during the six months ended June 30, 2025 as compared to 2024 was primarily due to a higher average outstanding balance on the revolving credit facility during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Equity Investments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recorded a loss on equity investments of $5.8 million for the three months ended June 30, 2025. During the second quarter of 2025, the Company divested 342,636 shares of Vital Energy’s common stock and realized a loss on sale of $10.5 million. This was partially offset by an unrealized gain of $4.7 million from the change in fair value of the common stock of Vital Energy during the period. We recorded an unrealized loss of $8.8 million for the three months ended June 30, 2024 from the change in fair value of the common and preferred stock of Vital Energy.</w:t>
      </w:r>
    </w:p>
    <w:p>
      <w:pPr>
        <w:spacing w:after="0" w:line="18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recorded a loss on equity investments of $15.8 million for the six months ended June 30, 2025. The loss is a result of a $10.5 million realized loss on sale of Vital Energy’s common stock and an unrealized loss of $5.2 million from the change in fair value of the common stock of Vital Energy. We recorded an unrealized loss of $1.0 million for the six months ended June 30, 2024 from the change in fair value of the common and preferred stock of Vital Energy.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recorded income tax expense of $7.8 million and $10.7 million for the three and six months ended June 30, 2025 compared to $1.7 million and $6.5</w:t>
      </w:r>
    </w:p>
    <w:p>
      <w:pPr>
        <w:spacing w:after="0" w:line="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million for the three and six months ended June 30, 2024</w:t>
      </w:r>
      <w:r>
        <w:rPr>
          <w:rFonts w:ascii="Arial" w:cs="Arial" w:eastAsia="Arial" w:hAnsi="Arial"/>
          <w:sz w:val="21"/>
          <w:szCs w:val="21"/>
          <w:color w:val="auto"/>
        </w:rPr>
        <w:t>.</w:t>
      </w:r>
      <w:r>
        <w:rPr>
          <w:rFonts w:ascii="Times New Roman" w:cs="Times New Roman" w:eastAsia="Times New Roman" w:hAnsi="Times New Roman"/>
          <w:sz w:val="18"/>
          <w:szCs w:val="18"/>
          <w:color w:val="auto"/>
        </w:rPr>
        <w:t>The effective income tax rate differs from the statutory rate primarily due to the impact of certain discrete items and state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main sources of liquidity and capital resources as of the periods covered by this Report have been internally generated cash flow from operations and credit facility borrowings. Our primary use of capital has been for the development and acquisition of oil and natural gas properties. We continually monitor potential capital sources for opportunities to enhance liquidity or otherwise improve our financial position.</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2025, we had $275.0 million of debt outstanding under our Credit Agreement. We had $103.4 million of liquidity as of June 30, 2025, consisting of $99.7 million of committed borrowing availability under the Credit Agreement and $3.7 million of cash on hand.</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April 29, 2025, the Company and its lenders entered into the Fifth Amendment to the Credit Agreement, which amended the Credit Agreement to, among other things, increase the borrowing base and aggregate elected commitments from $325.0 million to $375.0 million.</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With our cash on hand, cash flow from operations,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Commitments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Dividends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paid dividends of $14.4 million, or $0.11 per share, and $28.8 million, or $0.22 per share during the three and six months ended June 30, 2025, respectively. For the three and six months ended June 30, 2024, the Company paid dividends of $14.4 million, or $0.11 per share, and $28.7 million, or $0.22 per share, respectively.</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payment of future dividends will be at the discretion of the Company’s Board of Directors.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changes in cash and restricted cash for the six months ended June 30, 2025 and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132,842</w:t>
            </w:r>
          </w:p>
        </w:tc>
        <w:tc>
          <w:tcPr>
            <w:tcW w:w="0" w:type="dxa"/>
            <w:vAlign w:val="bottom"/>
          </w:tcPr>
          <w:p>
            <w:pPr>
              <w:spacing w:after="0"/>
              <w:rPr>
                <w:sz w:val="1"/>
                <w:szCs w:val="1"/>
                <w:color w:val="auto"/>
              </w:rPr>
            </w:pPr>
          </w:p>
        </w:tc>
      </w:tr>
      <w:tr>
        <w:trPr>
          <w:trHeight w:val="24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(152,579)</w:t>
            </w:r>
          </w:p>
        </w:tc>
        <w:tc>
          <w:tcPr>
            <w:tcW w:w="0" w:type="dxa"/>
            <w:vAlign w:val="bottom"/>
          </w:tcPr>
          <w:p>
            <w:pPr>
              <w:spacing w:after="0"/>
              <w:rPr>
                <w:sz w:val="1"/>
                <w:szCs w:val="1"/>
                <w:color w:val="auto"/>
              </w:rPr>
            </w:pPr>
          </w:p>
        </w:tc>
      </w:tr>
      <w:tr>
        <w:trPr>
          <w:trHeight w:val="25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40,723</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22,849</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primary factors impacting our cash flows from operating activities generally include: (i) levels of production from our oil and natural gas properties,</w:t>
      </w:r>
    </w:p>
    <w:p>
      <w:pPr>
        <w:spacing w:after="0" w:line="36" w:lineRule="exact"/>
        <w:rPr>
          <w:sz w:val="20"/>
          <w:szCs w:val="20"/>
          <w:color w:val="auto"/>
        </w:rPr>
      </w:pPr>
    </w:p>
    <w:p>
      <w:pPr>
        <w:jc w:val="both"/>
        <w:ind w:firstLine="6"/>
        <w:spacing w:after="0" w:line="248" w:lineRule="auto"/>
        <w:tabs>
          <w:tab w:leader="none" w:pos="2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spacing w:after="0" w:line="1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$21.3 million increase in operating cash flows during the six months ended June 30, 2025 as compared to the same period in 2024 was primarily due to the increase in oil and natural gas sales during the six months ended June 30, 2025 as compared to the same period in 2024.</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net cash provided by operating activities included a reduction of $2.0 million and a benefit of $6.4 million for the six months ended June 30, 2025 and 2024, respectively, associated with changes in working capital items. Changes in working capital items adjust for the timing of receipts and payments of actual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six months ended June 30, 2025, our net cash used in investing activities was $200.5 million, which consisted primarily of $164.5 million of capital expenditures for development of oil and natural gas properties and $44.9 million of acquisitions of oil and natural gas properties.</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six months ended June 30, 2024, our net cash used in investing activities was $152.6 million, which consisted primarily of $135.9 million of capital expenditures for development of oil and natural gas properties and $20.9 million of acquisitions of oil and natural gas properties.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For the six months ended June 30, 2025, our net cash provided by financing activities was $40.7 million, primarily due to $70.0 million of net borrowings under our Credit Agreement, partially offset $28.8 million of dividends paid on our common stock.</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six months ended June 30, 2024, our net cash provided by financing activities was $22.8 million, primarily due to $55.0 million of borrowings under our Credit Agreement, partially offset by $28.7 million of dividends paid on our common stock and $0.4 million of common stock repurchases.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Granite Ridge Credit Agreement</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June 30, 2025, the Company had outstanding borrowings of $275.0 million and $0.3 million of letters of credit issued and outstanding under the Credit Agreement, resulting in availability of $99.7 million. The Credit Agreement is guaranteed by the restricted subsidiaries of Granite Ridge and is secured by a first priority mortgage and security interest in substantially all of the Company’s and its restricted subsidiaries’ assets.</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October 24, 2022, Granite Ridge entered into a senior secured revolving credit agreement with a syndicate of banks, currently led by Bank of America, N.A., as administrative agent. The Credit Agreement has a maturity date of five years from the effective date thereof, or October 24, 2027.</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borrowing base is redetermined semiannually on or about April 1 and October 1 of each calendar year, and is subject to additional adjustments from time to time, including for asset sales, elimination or reduction of hedge positions and incurrence of other debt.</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April 29, 2025, the Company and its lenders entered into the Fifth Amendment to Credit Agreement, which amended the Credit Agreement to, among other things, (a) increase the borrowing base from $325.0 million to $375.0 million, and (b) increase the aggregate elected commitments from $325.0 million to $375.0 million.</w:t>
      </w:r>
    </w:p>
    <w:p>
      <w:pPr>
        <w:spacing w:after="0" w:line="17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w:t>
      </w:r>
    </w:p>
    <w:p>
      <w:pPr>
        <w:spacing w:after="0" w:line="18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also pays a commitment fee on unused elected commitment amounts under its facility of 50 basis points. The Company may repay any amounts borrowed under the Credit Agreement prior to the maturity date without any premium or penalty.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contains certain financial covenants, including the maintenance of the following financial ratios:</w:t>
      </w:r>
    </w:p>
    <w:p>
      <w:pPr>
        <w:spacing w:after="0" w:line="217" w:lineRule="exact"/>
        <w:rPr>
          <w:sz w:val="20"/>
          <w:szCs w:val="20"/>
          <w:color w:val="auto"/>
        </w:rPr>
      </w:pPr>
    </w:p>
    <w:p>
      <w:pPr>
        <w:ind w:left="960" w:hanging="636"/>
        <w:spacing w:after="0" w:line="274" w:lineRule="auto"/>
        <w:tabs>
          <w:tab w:leader="none" w:pos="9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ratio, which is the ratio of Consolidated Total Debt to EBITDAX (each as defined in the Credit Agreement), of not greater than 3.00 to 1.00 as of the last day of any fiscal quarter, and</w:t>
      </w:r>
    </w:p>
    <w:p>
      <w:pPr>
        <w:spacing w:after="0" w:line="163" w:lineRule="exact"/>
        <w:rPr>
          <w:rFonts w:ascii="Times New Roman" w:cs="Times New Roman" w:eastAsia="Times New Roman" w:hAnsi="Times New Roman"/>
          <w:sz w:val="18"/>
          <w:szCs w:val="18"/>
          <w:color w:val="auto"/>
        </w:rPr>
      </w:pPr>
    </w:p>
    <w:p>
      <w:pPr>
        <w:ind w:left="960" w:hanging="636"/>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Ratio (as defined in the Credit Agreement), of not less than 1.00 to 1.00 as of the last day of each fiscal quarter.</w:t>
      </w:r>
    </w:p>
    <w:p>
      <w:pPr>
        <w:spacing w:after="0" w:line="21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Credit Agreement contains additional restrictive covenants that limit our ability and our restricted subsidiaries to, among other things, incur additional indebtedness, incur additional liens, enter into mergers and acquisitions, make or declare dividends, repurchase or redeem junior debt, make investments and loans, engage in transactions with affiliates, sell assets and enter into certain hedging transactions. In addition, the Credit Agreement is subject to customary events of default, including a change in control. If an event of default occurs and is continuing, the administrative agent may, with the consent of majority lenders, or shall, at the direction of the majority lenders, accelerate any amounts outstanding and terminate lender commitments.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2025, we were in compliance with all covenants required by the Credit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Known Contractual and Other Obligations; Planned Capital Expenditures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and Other Obligations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contractual obligations include long-term debt, cash interest expense on debt, derivative liabilities, asset retirement obligations and an annual service fee to the Manager. Since December 31, 2024, there have been no material changes in</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obligations, other than the $70.0 million increase in long-term debt due to borrowings under the Credit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Capital Expenditures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2025, we are budgeting for approximately $400 million to $420 million in total planned capital expenditures, including approximately $120 million of acquisitions of oil and natural gas properties. Our costs incurred on oil and natural gas properties, excluding acquisitions, during the three months ended June 30, 2025 and 2024 totaled $77.2 million and $67.0 million, respectively, and $148.6 million and $129.6 million during the six months ended June 30, 2025 and 2024, respectively. Our capital expenditures for the six months ended June 30, 2025 were primarily funded with cash flows from operations and borrowings under the Credit Agreement. We expect to fund planned capital expenditures with cash generated from operations and, if required, borrowings under our Credit Agreement.</w:t>
      </w:r>
    </w:p>
    <w:p>
      <w:pPr>
        <w:spacing w:after="0" w:line="1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reflects our expenditures for acquisitions of proved and unproved properties for the three and six months ended June 30, 2025 and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Proved</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58"/>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Unproved</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18,596</w:t>
            </w:r>
          </w:p>
        </w:tc>
        <w:tc>
          <w:tcPr>
            <w:tcW w:w="0" w:type="dxa"/>
            <w:vAlign w:val="bottom"/>
          </w:tcPr>
          <w:p>
            <w:pPr>
              <w:spacing w:after="0"/>
              <w:rPr>
                <w:sz w:val="1"/>
                <w:szCs w:val="1"/>
                <w:color w:val="auto"/>
              </w:rPr>
            </w:pPr>
          </w:p>
        </w:tc>
      </w:tr>
      <w:tr>
        <w:trPr>
          <w:trHeight w:val="239"/>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acquisition costs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Satisfaction of Our Cash Obligations for the Next Twelve Months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 and Pricing</w:t>
      </w:r>
    </w:p>
    <w:p>
      <w:pPr>
        <w:spacing w:after="0" w:line="22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oil and natural gas industry is typically very cyclical and the demand for goods and services of oilfield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spacing w:after="0" w:line="1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a significant adverse impact to the financial condition, results of operations and cash flows of the Company.</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management’s opinion, the more significant reporting areas impacted by management’s judgments and estimates are the choice of accounting method for oil and natural gas activities, oil and natural gas reserve estimation, revenue recognition, impairment of long-lived assets and valuation of financial derivatives.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procedures during the six months ended June 30, 2025. See our disclosure of critical accounting policies in “Item 7. Management’s Discussion and Analysis of Financial Condition and Results of Operations” and “Item 8. Financial Statements and Supplementary Data” of our 2024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Pronouncements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discussion of recent accounting pronouncements, see Note 2 of the Notes to Condensed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For the six months ended June 30, 2025, a 10% increase in average commodity prices would have decreased the fair value of commodity derivatives by $21.4 million. We may incur significant unrealized losses in the future from our use of derivative financial instruments to the extent market prices increase and our derivatives contracts remain in place.</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At June 30, 2025, our exposure to interest rate changes related primarily to the borrowings under the Credit Agreement. The interest we pay on these borrowings is set periodically based upon market rates. We had total indebtedness of $275.0 million outstanding under our Credit Agreement at June 30, 2025. The impact of a one percent increase in interest rates on this amount of debt would result in increased annual interest expense of approximately $2.8 million.</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June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Interim Chief Financial Officer, to allow timely decisions regarding required disclosure.</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2025, an evaluation was performed under the supervision and with the participation of management, including our Chief Executive Officer and Interim Chief Financial Officer, of the effectiveness of the design and operation of our disclosure controls and procedures pursuant to Rule 13a-15(b) under the Exchange Act. Based upon our evaluation, our Chief Executive Officer and Interim Chief Financial Officer have concluded that as of June 30, 2025, our disclosure controls and procedures were effective at a level of reasonable assurance.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second quarter of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during the three months ended June 30, 2025. In the future, the Company may be subject from time to time to litigation claims and governmental and regulatory proceedings arising in the ordinary course of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than as set forth below, there have been no material changes in our risk factors from those described in our 2024 Form 10-K.</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U.S. and foreign trade policies, including the assessment of tariffs and other impositions on imported goods, may have a material adverse impact on our business.</w:t>
      </w:r>
    </w:p>
    <w:p>
      <w:pPr>
        <w:spacing w:after="0" w:line="16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United States and various other countries, including changes arising as a result of the new presidential administration, with respect to trade policies, treaties, tariffs, taxes, and other limitations on cross-border operations. For example, on April 2, 2025, the U.S. government announced a 10% universal tariff on product imports that, as of the date of this Report, continues to apply to countries with which the U.S. has a trade surplus. Since then, the U.S. government has imposed new trade tariffs, increased existing tariffs, and abruptly paused or reversed trade policies. Such tariffs could cause inflation, slow economic growth, intensify trade disputes and have placed downward pressure on oil prices. In addition, tariffs have the potential to significantly</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increase our operating and capital costs. If we were unable to mitigate the impacts of any such increased costs, our business and our results of operations could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284"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8578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40"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3.1</w:t>
      </w:r>
    </w:p>
    <w:p>
      <w:pPr>
        <w:spacing w:after="0" w:line="3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3.2</w:t>
      </w: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10.1*</w:t>
      </w:r>
    </w:p>
    <w:p>
      <w:pPr>
        <w:spacing w:after="0" w:line="3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31.1*</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31.2*</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32.1*</w:t>
      </w: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101.INS*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101.SCH*</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101.CAL*</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101.DEF*</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101.LAB*</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6217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17920" cy="8255"/>
                    </a:xfrm>
                    <a:prstGeom prst="rect">
                      <a:avLst/>
                    </a:prstGeom>
                    <a:noFill/>
                  </pic:spPr>
                </pic:pic>
              </a:graphicData>
            </a:graphic>
          </wp:anchor>
        </w:drawing>
      </w:r>
    </w:p>
    <w:p>
      <w:pPr>
        <w:spacing w:after="0" w:line="53" w:lineRule="exact"/>
        <w:rPr>
          <w:sz w:val="20"/>
          <w:szCs w:val="20"/>
          <w:color w:val="auto"/>
        </w:rPr>
      </w:pPr>
    </w:p>
    <w:p>
      <w:pPr>
        <w:ind w:right="420"/>
        <w:spacing w:after="0" w:line="258" w:lineRule="auto"/>
        <w:rPr>
          <w:rFonts w:ascii="Times New Roman" w:cs="Times New Roman" w:eastAsia="Times New Roman" w:hAnsi="Times New Roman"/>
          <w:sz w:val="18"/>
          <w:szCs w:val="18"/>
          <w:u w:val="single" w:color="auto"/>
          <w:color w:val="0000EE"/>
        </w:rPr>
      </w:pPr>
      <w:hyperlink r:id="rId55">
        <w:r>
          <w:rPr>
            <w:rFonts w:ascii="Times New Roman" w:cs="Times New Roman" w:eastAsia="Times New Roman" w:hAnsi="Times New Roman"/>
            <w:sz w:val="18"/>
            <w:szCs w:val="18"/>
            <w:u w:val="single" w:color="auto"/>
            <w:color w:val="0000EE"/>
          </w:rPr>
          <w:t>Amended and Restated Certificate of Incorporation of Granite Ridge Resources, Inc.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Company’s Current Report on Form 8-K filed with the SEC on October 28, 2022).</w:t>
        </w:r>
      </w:hyperlink>
    </w:p>
    <w:p>
      <w:pPr>
        <w:spacing w:after="0" w:line="125" w:lineRule="exact"/>
        <w:rPr>
          <w:sz w:val="20"/>
          <w:szCs w:val="20"/>
          <w:color w:val="auto"/>
        </w:rPr>
      </w:pPr>
    </w:p>
    <w:p>
      <w:pPr>
        <w:ind w:right="400"/>
        <w:spacing w:after="0" w:line="258" w:lineRule="auto"/>
        <w:rPr>
          <w:rFonts w:ascii="Times New Roman" w:cs="Times New Roman" w:eastAsia="Times New Roman" w:hAnsi="Times New Roman"/>
          <w:sz w:val="18"/>
          <w:szCs w:val="18"/>
          <w:u w:val="single" w:color="auto"/>
          <w:color w:val="0000EE"/>
        </w:rPr>
      </w:pPr>
      <w:hyperlink r:id="rId56">
        <w:r>
          <w:rPr>
            <w:rFonts w:ascii="Times New Roman" w:cs="Times New Roman" w:eastAsia="Times New Roman" w:hAnsi="Times New Roman"/>
            <w:sz w:val="18"/>
            <w:szCs w:val="18"/>
            <w:u w:val="single" w:color="auto"/>
            <w:color w:val="0000EE"/>
          </w:rPr>
          <w:t>Amended and Restated Bylaws of Granite Ridge Resources, Inc. (incorporated by reference to Exhibit 3.2 to the Company’s Current</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Report on Form 8-K filed with the SEC on October 28, 2022).</w:t>
        </w:r>
      </w:hyperlink>
    </w:p>
    <w:p>
      <w:pPr>
        <w:spacing w:after="0" w:line="125"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18"/>
          <w:szCs w:val="18"/>
          <w:u w:val="single" w:color="auto"/>
          <w:color w:val="0000FF"/>
        </w:rPr>
        <w:t>Fifth Amendment to Credit Agreement, dated as of April 29, 2025, by and among Granite Ridge Resources, Inc., as borrower, the guarantors party thereto, Bank of America, N.A., as administrative agent, and the lenders party thereto.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Company’s Chief Executive Officer Pursuant to Section 302 of the Sarbanes Oxley Act of 2002.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Company’s Chief Financial Officer Pursuant to Section 302 of the Sarbanes Oxley Act of 2002.</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0000EE"/>
        </w:rPr>
        <w:t>Certification of the Company’s Chief Executive Officer and Chief Financial Officer Pursuant to Section 906 of the Sarbanes Oxley Act of 2002.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45" w:lineRule="exact"/>
        <w:rPr>
          <w:sz w:val="20"/>
          <w:szCs w:val="20"/>
          <w:color w:val="auto"/>
        </w:rPr>
      </w:pPr>
    </w:p>
    <w:p>
      <w:pPr>
        <w:sectPr>
          <w:pgSz w:w="11900" w:h="16838" w:orient="portrait"/>
          <w:cols w:equalWidth="0" w:num="2">
            <w:col w:w="1180" w:space="280"/>
            <w:col w:w="9780"/>
          </w:cols>
          <w:pgMar w:left="320" w:top="121" w:right="339" w:bottom="1440" w:gutter="0" w:footer="0" w:header="0"/>
          <w:type w:val="continuous"/>
        </w:sectPr>
      </w:pPr>
    </w:p>
    <w:p>
      <w:pPr>
        <w:ind w:left="540"/>
        <w:spacing w:after="0"/>
        <w:tabs>
          <w:tab w:leader="none" w:pos="1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980" w:type="dxa"/>
            <w:vAlign w:val="bottom"/>
          </w:tcPr>
          <w:p>
            <w:pPr>
              <w:spacing w:after="0"/>
              <w:rPr>
                <w:sz w:val="20"/>
                <w:szCs w:val="20"/>
                <w:color w:val="auto"/>
              </w:rPr>
            </w:pPr>
          </w:p>
        </w:tc>
        <w:tc>
          <w:tcPr>
            <w:tcW w:w="824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tc>
      </w:tr>
      <w:tr>
        <w:trPr>
          <w:trHeight w:val="78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August 7, 2025</w:t>
            </w:r>
          </w:p>
        </w:tc>
        <w:tc>
          <w:tcPr>
            <w:tcW w:w="23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TYLER S. FARQUHARSON</w:t>
            </w:r>
          </w:p>
        </w:tc>
      </w:tr>
      <w:tr>
        <w:trPr>
          <w:trHeight w:val="239"/>
        </w:trPr>
        <w:tc>
          <w:tcPr>
            <w:tcW w:w="29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Tyler S. Farquharson</w:t>
            </w:r>
          </w:p>
        </w:tc>
      </w:tr>
      <w:tr>
        <w:trPr>
          <w:trHeight w:val="252"/>
        </w:trPr>
        <w:tc>
          <w:tcPr>
            <w:tcW w:w="29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78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August 7, 2025</w:t>
            </w:r>
          </w:p>
        </w:tc>
        <w:tc>
          <w:tcPr>
            <w:tcW w:w="23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KIMBERLY A. WEIMER</w:t>
            </w:r>
          </w:p>
        </w:tc>
      </w:tr>
      <w:tr>
        <w:trPr>
          <w:trHeight w:val="239"/>
        </w:trPr>
        <w:tc>
          <w:tcPr>
            <w:tcW w:w="29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Kimberly A. Weimer</w:t>
            </w:r>
          </w:p>
        </w:tc>
      </w:tr>
      <w:tr>
        <w:trPr>
          <w:trHeight w:val="252"/>
        </w:trPr>
        <w:tc>
          <w:tcPr>
            <w:tcW w:w="29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Interim Chief Financial 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36" w:name="page37"/>
    <w:bookmarkEnd w:id="36"/>
    <w:p>
      <w:pPr>
        <w:ind w:left="1014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Fifth Amendment to Credit Agreement</w:t>
      </w:r>
    </w:p>
    <w:p>
      <w:pPr>
        <w:spacing w:after="0" w:line="226"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21"/>
          <w:szCs w:val="21"/>
          <w:color w:val="auto"/>
        </w:rPr>
        <w:t>This Fifth Amendment to Credit Agreement (this “</w:t>
      </w:r>
      <w:r>
        <w:rPr>
          <w:rFonts w:ascii="Times New Roman" w:cs="Times New Roman" w:eastAsia="Times New Roman" w:hAnsi="Times New Roman"/>
          <w:sz w:val="21"/>
          <w:szCs w:val="21"/>
          <w:u w:val="single" w:color="auto"/>
          <w:color w:val="auto"/>
        </w:rPr>
        <w:t>Fifth Amendment</w:t>
      </w:r>
      <w:r>
        <w:rPr>
          <w:rFonts w:ascii="Times New Roman" w:cs="Times New Roman" w:eastAsia="Times New Roman" w:hAnsi="Times New Roman"/>
          <w:sz w:val="21"/>
          <w:szCs w:val="21"/>
          <w:color w:val="auto"/>
        </w:rPr>
        <w:t>”), dated as of April 29, 2025 (the “</w:t>
      </w:r>
      <w:r>
        <w:rPr>
          <w:rFonts w:ascii="Times New Roman" w:cs="Times New Roman" w:eastAsia="Times New Roman" w:hAnsi="Times New Roman"/>
          <w:sz w:val="21"/>
          <w:szCs w:val="21"/>
          <w:u w:val="single" w:color="auto"/>
          <w:color w:val="auto"/>
        </w:rPr>
        <w:t>Fifth Amendment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is among Granite Ridge Resources,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each of the undersigned Restricted Subsidiaries of the Borrower (the “</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the Guarantors together with the Borrower, the “</w:t>
      </w:r>
      <w:r>
        <w:rPr>
          <w:rFonts w:ascii="Times New Roman" w:cs="Times New Roman" w:eastAsia="Times New Roman" w:hAnsi="Times New Roman"/>
          <w:sz w:val="21"/>
          <w:szCs w:val="21"/>
          <w:u w:val="single" w:color="auto"/>
          <w:color w:val="auto"/>
        </w:rPr>
        <w:t>Loan Parties</w:t>
      </w:r>
      <w:r>
        <w:rPr>
          <w:rFonts w:ascii="Times New Roman" w:cs="Times New Roman" w:eastAsia="Times New Roman" w:hAnsi="Times New Roman"/>
          <w:sz w:val="21"/>
          <w:szCs w:val="21"/>
          <w:color w:val="auto"/>
        </w:rPr>
        <w:t>”); each of the Lenders that is a signatory hereto; and Bank of America, N.A., as administrative agent for the Lenders (in such capacity, together with its successors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26" w:lineRule="exact"/>
        <w:rPr>
          <w:sz w:val="20"/>
          <w:szCs w:val="20"/>
          <w:color w:val="auto"/>
        </w:rPr>
      </w:pPr>
    </w:p>
    <w:p>
      <w:pPr>
        <w:jc w:val="both"/>
        <w:ind w:firstLine="642"/>
        <w:spacing w:after="0" w:line="266" w:lineRule="auto"/>
        <w:tabs>
          <w:tab w:leader="none" w:pos="110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the Administrative Agent, the Lenders and the L/C Issuer are parties to that certain Credit Agreement dated as of October 24, 2022 (as amended, restated, supplemented or otherwise modified prior to the date hereof, the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pursuant to which the Lenders have, subject to the terms and conditions set forth therein, made certain credit available to and on behalf of the Borrower.</w:t>
      </w:r>
    </w:p>
    <w:p>
      <w:pPr>
        <w:spacing w:after="0" w:line="161" w:lineRule="exact"/>
        <w:rPr>
          <w:rFonts w:ascii="Times New Roman" w:cs="Times New Roman" w:eastAsia="Times New Roman" w:hAnsi="Times New Roman"/>
          <w:sz w:val="21"/>
          <w:szCs w:val="21"/>
          <w:color w:val="auto"/>
        </w:rPr>
      </w:pPr>
    </w:p>
    <w:p>
      <w:pPr>
        <w:jc w:val="both"/>
        <w:ind w:firstLine="642"/>
        <w:spacing w:after="0" w:line="258" w:lineRule="auto"/>
        <w:tabs>
          <w:tab w:leader="none" w:pos="106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the Guarantors, the Lenders party thereto and the Administrative Agent are parties to that certain Letter Agreement regarding Waiver of Borrowing Base Reduction dated as of March 14, 2025 (the “</w:t>
      </w:r>
      <w:r>
        <w:rPr>
          <w:rFonts w:ascii="Times New Roman" w:cs="Times New Roman" w:eastAsia="Times New Roman" w:hAnsi="Times New Roman"/>
          <w:sz w:val="21"/>
          <w:szCs w:val="21"/>
          <w:u w:val="single" w:color="auto"/>
          <w:color w:val="auto"/>
        </w:rPr>
        <w:t>Specified Consent Letter</w:t>
      </w:r>
      <w:r>
        <w:rPr>
          <w:rFonts w:ascii="Times New Roman" w:cs="Times New Roman" w:eastAsia="Times New Roman" w:hAnsi="Times New Roman"/>
          <w:sz w:val="21"/>
          <w:szCs w:val="21"/>
          <w:color w:val="auto"/>
        </w:rPr>
        <w:t>”), pursuant to which, and on the terms set forth therein, the Lenders granted a limited waiver of the automatic reduction of the Borrowing Base pursuant to Section 2.8(f) of the Credit Agreement that would otherwise occur as a result of the consummation of the Requested Permitted Additional Debt Issuance (as defined in the Specified Consent Letter). The Borrower has not incurred or issued any amount of the Requested Permitted Additional Debt Issuance, and the Borrower does not intend to incur or issue the Requested Permitted Additional Debt Issuance prior to May 15, 2025, as required under the Specified Consent Letter.</w:t>
      </w:r>
    </w:p>
    <w:p>
      <w:pPr>
        <w:spacing w:after="0" w:line="170" w:lineRule="exact"/>
        <w:rPr>
          <w:rFonts w:ascii="Times New Roman" w:cs="Times New Roman" w:eastAsia="Times New Roman" w:hAnsi="Times New Roman"/>
          <w:sz w:val="21"/>
          <w:szCs w:val="21"/>
          <w:color w:val="auto"/>
        </w:rPr>
      </w:pPr>
    </w:p>
    <w:p>
      <w:pPr>
        <w:jc w:val="both"/>
        <w:ind w:firstLine="642"/>
        <w:spacing w:after="0" w:line="266" w:lineRule="auto"/>
        <w:tabs>
          <w:tab w:leader="none" w:pos="1112"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hereto desire to enter into this Fifth Amendment to, among other things, (i) evidence the increase of the Borrowing Base from $325,000,000 to $375,000,000 as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herein, (ii) increase the Aggregate Elected Commitment Amounts from $325,000,000 to $375,000,000 as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herein and (iii) amend certain terms of the Credit Agreement, in each case, as set forth herein and to be effective as of the Fifth Amendment Effective Date.</w:t>
      </w:r>
    </w:p>
    <w:p>
      <w:pPr>
        <w:spacing w:after="0" w:line="16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29"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Each capitalized term which is defined in the Credit Agreement, but which is not defined in this Fifth Amendment, shall have the meaning ascribed such term in the Credit Agreement, as amended hereby. Unless otherwise indicated, all section references in this Fifth Amendment refer to the Credit Agreement.</w:t>
      </w:r>
    </w:p>
    <w:p>
      <w:pPr>
        <w:spacing w:after="0" w:line="148"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In reliance on the representations, warranties, covenants and agreements contained in this Fifth Amendment, and subject to the satisfaction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LEGAL_US_W # 183081065.3</w:t>
      </w:r>
    </w:p>
    <w:p>
      <w:pPr>
        <w:sectPr>
          <w:pgSz w:w="11900" w:h="16838" w:orient="portrait"/>
          <w:cols w:equalWidth="0" w:num="1">
            <w:col w:w="11240"/>
          </w:cols>
          <w:pgMar w:left="320" w:top="121" w:right="339" w:bottom="1440" w:gutter="0" w:footer="0" w:header="0"/>
        </w:sectPr>
      </w:pPr>
    </w:p>
    <w:bookmarkStart w:id="37" w:name="page38"/>
    <w:bookmarkEnd w:id="37"/>
    <w:p>
      <w:pPr>
        <w:spacing w:after="0" w:line="245" w:lineRule="auto"/>
        <w:rPr>
          <w:sz w:val="20"/>
          <w:szCs w:val="20"/>
          <w:color w:val="auto"/>
        </w:rPr>
      </w:pPr>
      <w:r>
        <w:rPr>
          <w:rFonts w:ascii="Times New Roman" w:cs="Times New Roman" w:eastAsia="Times New Roman" w:hAnsi="Times New Roman"/>
          <w:sz w:val="21"/>
          <w:szCs w:val="21"/>
          <w:color w:val="auto"/>
        </w:rPr>
        <w:t xml:space="preserve">conditions precedent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hereof, the Credit Agreement shall be amended, effective as of the Fifth Amendment Effective Date, in the manner provided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Additional Definitions</w:t>
      </w:r>
      <w:r>
        <w:rPr>
          <w:rFonts w:ascii="Times New Roman" w:cs="Times New Roman" w:eastAsia="Times New Roman" w:hAnsi="Times New Roman"/>
          <w:sz w:val="21"/>
          <w:szCs w:val="21"/>
          <w:color w:val="auto"/>
        </w:rPr>
        <w:t>. Section 1.1 of the Credit Agreement is hereby amended to add thereto in alphabetical order the following definitions which shall read in their respective entireties as follows:</w:t>
      </w:r>
    </w:p>
    <w:p>
      <w:pPr>
        <w:spacing w:after="0" w:line="169" w:lineRule="exact"/>
        <w:rPr>
          <w:sz w:val="20"/>
          <w:szCs w:val="20"/>
          <w:color w:val="auto"/>
        </w:rPr>
      </w:pPr>
    </w:p>
    <w:p>
      <w:pPr>
        <w:jc w:val="both"/>
        <w:ind w:left="640" w:right="640" w:firstLine="636"/>
        <w:spacing w:after="0" w:line="267" w:lineRule="auto"/>
        <w:rPr>
          <w:sz w:val="20"/>
          <w:szCs w:val="20"/>
          <w:color w:val="auto"/>
        </w:rPr>
      </w:pPr>
      <w:r>
        <w:rPr>
          <w:rFonts w:ascii="Times New Roman" w:cs="Times New Roman" w:eastAsia="Times New Roman" w:hAnsi="Times New Roman"/>
          <w:sz w:val="21"/>
          <w:szCs w:val="21"/>
          <w:color w:val="auto"/>
        </w:rPr>
        <w:t>Section 3. “</w:t>
      </w:r>
      <w:r>
        <w:rPr>
          <w:rFonts w:ascii="Times New Roman" w:cs="Times New Roman" w:eastAsia="Times New Roman" w:hAnsi="Times New Roman"/>
          <w:sz w:val="21"/>
          <w:szCs w:val="21"/>
          <w:u w:val="single" w:color="auto"/>
          <w:color w:val="auto"/>
        </w:rPr>
        <w:t>Fifth Amendment</w:t>
      </w:r>
      <w:r>
        <w:rPr>
          <w:rFonts w:ascii="Times New Roman" w:cs="Times New Roman" w:eastAsia="Times New Roman" w:hAnsi="Times New Roman"/>
          <w:sz w:val="21"/>
          <w:szCs w:val="21"/>
          <w:color w:val="auto"/>
        </w:rPr>
        <w:t>” means that certain Fifth Amendment to Credit Agreement dated as of the Fifth Amendment Effective Date, among the Borrower, the other Loan Parties party thereto, the Administrative Agent and the Lenders party thereto.</w:t>
      </w:r>
    </w:p>
    <w:p>
      <w:pPr>
        <w:spacing w:after="0" w:line="175"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Fifth Amendment Effective Date</w:t>
      </w:r>
      <w:r>
        <w:rPr>
          <w:rFonts w:ascii="Times New Roman" w:cs="Times New Roman" w:eastAsia="Times New Roman" w:hAnsi="Times New Roman"/>
          <w:sz w:val="21"/>
          <w:szCs w:val="21"/>
          <w:color w:val="auto"/>
        </w:rPr>
        <w:t>” means April 29, 2025.</w:t>
      </w:r>
    </w:p>
    <w:p>
      <w:pPr>
        <w:spacing w:after="0" w:line="196" w:lineRule="exact"/>
        <w:rPr>
          <w:sz w:val="20"/>
          <w:szCs w:val="20"/>
          <w:color w:val="auto"/>
        </w:rPr>
      </w:pPr>
    </w:p>
    <w:p>
      <w:pPr>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Restated Definitions</w:t>
      </w:r>
      <w:r>
        <w:rPr>
          <w:rFonts w:ascii="Times New Roman" w:cs="Times New Roman" w:eastAsia="Times New Roman" w:hAnsi="Times New Roman"/>
          <w:sz w:val="21"/>
          <w:szCs w:val="21"/>
          <w:color w:val="auto"/>
        </w:rPr>
        <w:t>. The following definitions contained in Section 1.1 of the Credit Agreement are hereby amended and restated in their respective entireties to read in full as follows:</w:t>
      </w:r>
    </w:p>
    <w:p>
      <w:pPr>
        <w:spacing w:after="0" w:line="143" w:lineRule="exact"/>
        <w:rPr>
          <w:sz w:val="20"/>
          <w:szCs w:val="20"/>
          <w:color w:val="auto"/>
        </w:rPr>
      </w:pPr>
    </w:p>
    <w:p>
      <w:pPr>
        <w:jc w:val="both"/>
        <w:ind w:left="640" w:right="640" w:firstLine="636"/>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Elected Commitment Amounts</w:t>
      </w:r>
      <w:r>
        <w:rPr>
          <w:rFonts w:ascii="Times New Roman" w:cs="Times New Roman" w:eastAsia="Times New Roman" w:hAnsi="Times New Roman"/>
          <w:sz w:val="21"/>
          <w:szCs w:val="21"/>
          <w:color w:val="auto"/>
        </w:rPr>
        <w:t xml:space="preserve">” means, at any time, an amount equal to the sum of the Elected Commitments of the Revolving Credit Lenders, as the same may be increased, reduced or terminated pursuant to </w:t>
      </w:r>
      <w:r>
        <w:rPr>
          <w:rFonts w:ascii="Times New Roman" w:cs="Times New Roman" w:eastAsia="Times New Roman" w:hAnsi="Times New Roman"/>
          <w:sz w:val="21"/>
          <w:szCs w:val="21"/>
          <w:u w:val="single" w:color="auto"/>
          <w:color w:val="auto"/>
        </w:rPr>
        <w:t>Section 2.7(b)</w:t>
      </w:r>
      <w:r>
        <w:rPr>
          <w:rFonts w:ascii="Times New Roman" w:cs="Times New Roman" w:eastAsia="Times New Roman" w:hAnsi="Times New Roman"/>
          <w:sz w:val="21"/>
          <w:szCs w:val="21"/>
          <w:color w:val="auto"/>
        </w:rPr>
        <w:t>. The Aggregate Elected Commitment Amounts as of the Fifth Amendment Effective Date are $375,000,000.</w:t>
      </w:r>
    </w:p>
    <w:p>
      <w:pPr>
        <w:spacing w:after="0" w:line="150" w:lineRule="exact"/>
        <w:rPr>
          <w:sz w:val="20"/>
          <w:szCs w:val="20"/>
          <w:color w:val="auto"/>
        </w:rPr>
      </w:pPr>
    </w:p>
    <w:p>
      <w:pPr>
        <w:jc w:val="both"/>
        <w:ind w:left="640" w:right="640" w:firstLine="636"/>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xml:space="preserve">” means this Agreement, the First Amendment, the Second Amendment, the Third Amendment, the Fourth Amendment, the Fifth Amendment, the Guaranty, the Security Documents, the Notes, the Issuer Documents, each Fee Letter and all other promissory notes, security agreements, intercreditor agreements, mortgages, deeds of trust, assignments, letters of credit, guaranties, and other instruments, documents, certificates and agreements executed and delivered pursuant to or in connection with this Agreement or the Security Documents;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term “Loan Documents” shall not include any Secured Cash Management Agreement 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Secured Hedge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no Approved Swap Counterparty (in its capacity as such) shall be deemed to be a party to or have any rights under any Loan Documents to which it is a party.</w:t>
      </w:r>
    </w:p>
    <w:p>
      <w:pPr>
        <w:spacing w:after="0" w:line="153" w:lineRule="exact"/>
        <w:rPr>
          <w:sz w:val="20"/>
          <w:szCs w:val="20"/>
          <w:color w:val="auto"/>
        </w:rPr>
      </w:pPr>
    </w:p>
    <w:p>
      <w:pPr>
        <w:jc w:val="both"/>
        <w:ind w:firstLine="636"/>
        <w:spacing w:after="0" w:line="216"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Replacement of Schedule 2.1 to the Credit Agreement</w:t>
      </w:r>
      <w:r>
        <w:rPr>
          <w:rFonts w:ascii="Times New Roman" w:cs="Times New Roman" w:eastAsia="Times New Roman" w:hAnsi="Times New Roman"/>
          <w:sz w:val="21"/>
          <w:szCs w:val="21"/>
          <w:color w:val="auto"/>
        </w:rPr>
        <w:t xml:space="preserve">. Schedule 2.1 to the Credit Agreement is hereby amended and restated in its entirety in the form of </w:t>
      </w:r>
      <w:r>
        <w:rPr>
          <w:rFonts w:ascii="Times New Roman" w:cs="Times New Roman" w:eastAsia="Times New Roman" w:hAnsi="Times New Roman"/>
          <w:sz w:val="21"/>
          <w:szCs w:val="21"/>
          <w:u w:val="single" w:color="auto"/>
          <w:color w:val="auto"/>
        </w:rPr>
        <w:t>Schedule 2.1</w:t>
      </w:r>
      <w:r>
        <w:rPr>
          <w:rFonts w:ascii="Times New Roman" w:cs="Times New Roman" w:eastAsia="Times New Roman" w:hAnsi="Times New Roman"/>
          <w:sz w:val="21"/>
          <w:szCs w:val="21"/>
          <w:color w:val="auto"/>
        </w:rPr>
        <w:t xml:space="preserve"> attached hereto and </w:t>
      </w:r>
      <w:r>
        <w:rPr>
          <w:rFonts w:ascii="Times New Roman" w:cs="Times New Roman" w:eastAsia="Times New Roman" w:hAnsi="Times New Roman"/>
          <w:sz w:val="21"/>
          <w:szCs w:val="21"/>
          <w:u w:val="single" w:color="auto"/>
          <w:color w:val="auto"/>
        </w:rPr>
        <w:t>Schedule 2.1</w:t>
      </w:r>
      <w:r>
        <w:rPr>
          <w:rFonts w:ascii="Times New Roman" w:cs="Times New Roman" w:eastAsia="Times New Roman" w:hAnsi="Times New Roman"/>
          <w:sz w:val="21"/>
          <w:szCs w:val="21"/>
          <w:color w:val="auto"/>
        </w:rPr>
        <w:t xml:space="preserve"> attached hereto shall be deemed to be attached as Schedule 2.1 to the Credit Agreement as of the Fifth Amendment Effective Date. Immediately after giving effect to this Fifth Amendment and any Borrowings made on the Fifth Amendment Effective Date, (a) each Lender who holds Loans in an aggregate amount less than its Applicable Percentage of all Loans shall advance new Loans which shall be disbursed to the Administrative Agent and used to repay Loans outstanding to each Lender who holds Loans in an aggregate amount greater than its Applicable Percentage of all Loans, (b) each Lender’s participation in each Letter of Credit, if any, shall be automatically adjusted to equal its Applicable Percentage, (c) such other adjustments shall be made as the Administrative Agent shall specify so that the Revolving Credit Exposure applicable to each Lender equals its Applicable Percentage of the aggregate Revolving Credit Exposure of all Lenders and (d) upon request by each applicable Lender, the Borrower shall be required to make any break funding payments owing to such Lender that are required under Section 3.5 of the Credit Agreement as a result of the reallocation of Loans and adjustments described in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Page 2</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LEGAL_US_W # 183081065.3</w:t>
      </w:r>
    </w:p>
    <w:p>
      <w:pPr>
        <w:sectPr>
          <w:pgSz w:w="11900" w:h="16838" w:orient="portrait"/>
          <w:cols w:equalWidth="0" w:num="1">
            <w:col w:w="11240"/>
          </w:cols>
          <w:pgMar w:left="320" w:top="1371" w:right="339" w:bottom="1440" w:gutter="0" w:footer="0" w:header="0"/>
        </w:sectPr>
      </w:pPr>
    </w:p>
    <w:bookmarkStart w:id="38" w:name="page39"/>
    <w:bookmarkEnd w:id="38"/>
    <w:p>
      <w:pPr>
        <w:jc w:val="both"/>
        <w:ind w:firstLine="636"/>
        <w:spacing w:after="0" w:line="215"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Borrowing Base Increase and Aggregate Elected Commitment Amounts</w:t>
      </w:r>
      <w:r>
        <w:rPr>
          <w:rFonts w:ascii="Times New Roman" w:cs="Times New Roman" w:eastAsia="Times New Roman" w:hAnsi="Times New Roman"/>
          <w:sz w:val="21"/>
          <w:szCs w:val="21"/>
          <w:color w:val="auto"/>
        </w:rPr>
        <w:t xml:space="preserve">. In reliance on the representations, warranties, covenants and agreements contained in this Fifth Amendment, and subject to the satisfaction of the conditions precedent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hereof, the Administrative Agent and each of the Lenders agree that, effective as of the Fifth Amendment Effective Date, the Borrowing Base shall be increased from $325,000,000 to $375,000,000, and the Borrowing Base shall remain at $375,000,000 until the next Periodic Determination, Special Determination or other redetermination or adjustment to the Borrowing Base thereafter, whichever occurs first pursuant to the terms of the Credit Agreement. The redetermination of the Borrowing Base provided for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shall constitute the Periodic Determination scheduled to occur on or about April 1, 2025, for purposes of Section 2.8(d) of the Credit Agreement. This Fifth Amendment constitutes a New Borrowing Base Notice for purposes of Section 2.8(d) of the Credit Agreement. Notwithstanding anything to the contrary in Section 2.7(b) of the Credit Agreement, the Administrative Agent, the Lenders and the Borrower agree that the Aggregate Elected Commitment Amounts are hereby increased from $325,000,000 to $375,000,000 to be effective as of the Fifth Amendment Effective Date and such increase shall be deemed to be in conformity with Section 2.7(b) of the Credit Agreement, and that each Lender has the Elected Commitment set forth opposite such Lender’s name on Schedule 2.1 to the Credit Agreement (as amended by this Fifth Amendment).</w:t>
      </w:r>
    </w:p>
    <w:p>
      <w:pPr>
        <w:spacing w:after="0" w:line="156"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6.</w:t>
      </w:r>
      <w:r>
        <w:rPr>
          <w:sz w:val="20"/>
          <w:szCs w:val="20"/>
          <w:color w:val="auto"/>
        </w:rPr>
        <w:tab/>
      </w:r>
      <w:r>
        <w:rPr>
          <w:rFonts w:ascii="Times New Roman" w:cs="Times New Roman" w:eastAsia="Times New Roman" w:hAnsi="Times New Roman"/>
          <w:sz w:val="21"/>
          <w:szCs w:val="21"/>
          <w:u w:val="single" w:color="auto"/>
          <w:color w:val="auto"/>
        </w:rPr>
        <w:t>Conditions Precedent</w:t>
      </w:r>
      <w:r>
        <w:rPr>
          <w:rFonts w:ascii="Times New Roman" w:cs="Times New Roman" w:eastAsia="Times New Roman" w:hAnsi="Times New Roman"/>
          <w:sz w:val="21"/>
          <w:szCs w:val="21"/>
          <w:color w:val="auto"/>
        </w:rPr>
        <w:t>. The effectiveness of this Fifth Amendment is subject to the following:</w:t>
      </w:r>
    </w:p>
    <w:p>
      <w:pPr>
        <w:spacing w:after="0" w:line="183"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The Administrative Agent shall have received counterparts of this Fifth Amendment from the Loan Parties and each of the Lenders.</w:t>
      </w:r>
    </w:p>
    <w:p>
      <w:pPr>
        <w:spacing w:after="0" w:line="143"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The Administrative Agent shall have received all fees and other amounts due and payable on or prior to the Fifth Amendment Effective Date.</w:t>
      </w:r>
    </w:p>
    <w:p>
      <w:pPr>
        <w:spacing w:after="0" w:line="143"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The Administrative Agent shall have received duly executed Notes (or any amendment and restatement thereof, as the case may be) payable to each Lender requesting a Note (or amendment and restatement thereof, as the case may be) in a principal amount equal to its Maximum Credit Amount (as amended hereby) dated as of the Fifth Amendment Effective Date.</w:t>
      </w:r>
    </w:p>
    <w:p>
      <w:pPr>
        <w:spacing w:after="0" w:line="148"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Other Documents</w:t>
      </w:r>
      <w:r>
        <w:rPr>
          <w:rFonts w:ascii="Times New Roman" w:cs="Times New Roman" w:eastAsia="Times New Roman" w:hAnsi="Times New Roman"/>
          <w:sz w:val="21"/>
          <w:szCs w:val="21"/>
          <w:color w:val="auto"/>
        </w:rPr>
        <w:t>. The Administrative Agent shall have received such other documents as the Administrative Agent or counsel to the Administrative Agent may reasonably request.</w:t>
      </w:r>
    </w:p>
    <w:p>
      <w:pPr>
        <w:spacing w:after="0" w:line="143"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Termination of Limited Waiver</w:t>
      </w:r>
      <w:r>
        <w:rPr>
          <w:rFonts w:ascii="Times New Roman" w:cs="Times New Roman" w:eastAsia="Times New Roman" w:hAnsi="Times New Roman"/>
          <w:sz w:val="21"/>
          <w:szCs w:val="21"/>
          <w:color w:val="auto"/>
        </w:rPr>
        <w:t>. The parties hereto hereby agree that the limited waiver granted to the Borrower pursuant to Section 2 of the Specified Consent Letter is hereby terminated, deemed void ab initio and of no further force or effect.</w:t>
      </w:r>
    </w:p>
    <w:p>
      <w:pPr>
        <w:spacing w:after="0" w:line="365" w:lineRule="exact"/>
        <w:rPr>
          <w:sz w:val="20"/>
          <w:szCs w:val="20"/>
          <w:color w:val="auto"/>
        </w:rPr>
      </w:pPr>
    </w:p>
    <w:p>
      <w:pPr>
        <w:ind w:left="640"/>
        <w:spacing w:after="0"/>
        <w:tabs>
          <w:tab w:leader="none" w:pos="1900" w:val="left"/>
        </w:tabs>
        <w:rPr>
          <w:sz w:val="20"/>
          <w:szCs w:val="20"/>
          <w:color w:val="auto"/>
        </w:rPr>
      </w:pPr>
      <w:r>
        <w:rPr>
          <w:rFonts w:ascii="Times New Roman" w:cs="Times New Roman" w:eastAsia="Times New Roman" w:hAnsi="Times New Roman"/>
          <w:sz w:val="21"/>
          <w:szCs w:val="21"/>
          <w:color w:val="auto"/>
        </w:rPr>
        <w:t>Section 8.</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36"/>
        <w:spacing w:after="0" w:line="218"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Confirmation and Effect</w:t>
      </w:r>
      <w:r>
        <w:rPr>
          <w:rFonts w:ascii="Times New Roman" w:cs="Times New Roman" w:eastAsia="Times New Roman" w:hAnsi="Times New Roman"/>
          <w:sz w:val="21"/>
          <w:szCs w:val="21"/>
          <w:color w:val="auto"/>
        </w:rPr>
        <w:t>. The provisions of the Credit Agreement (as amended by this Fifth Amendment) shall remain in full force and effect in accordance with their terms following the effectiveness of this Fifth Amendment, and the execution, delivery and effectiveness of this Fifth Amendment shall not (a) operate as a waiver of any right, power or remedy of any Lender, the L/C Issuer or the Administrative Agent under any of the Loan Documents nor (b) constitute a waiver of any provision of the Credit Agreement or any other Loan Document except, in each case, as expressly provided herein.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Page 3</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LEGAL_US_W # 183081065.3</w:t>
      </w:r>
    </w:p>
    <w:p>
      <w:pPr>
        <w:sectPr>
          <w:pgSz w:w="11900" w:h="16838" w:orient="portrait"/>
          <w:cols w:equalWidth="0" w:num="1">
            <w:col w:w="11240"/>
          </w:cols>
          <w:pgMar w:left="320" w:top="137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color w:val="auto"/>
        </w:rPr>
        <w:t>connection with the Credit Agreement shall mean and be a reference to the Credit Agreement as amended hereby.</w:t>
      </w:r>
    </w:p>
    <w:p>
      <w:pPr>
        <w:spacing w:after="0" w:line="183" w:lineRule="exact"/>
        <w:rPr>
          <w:sz w:val="20"/>
          <w:szCs w:val="20"/>
          <w:color w:val="auto"/>
        </w:rPr>
      </w:pPr>
    </w:p>
    <w:p>
      <w:pPr>
        <w:jc w:val="both"/>
        <w:ind w:firstLine="636"/>
        <w:spacing w:after="0" w:line="214"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Ratification and Affirmation of Loan Parties</w:t>
      </w:r>
      <w:r>
        <w:rPr>
          <w:rFonts w:ascii="Times New Roman" w:cs="Times New Roman" w:eastAsia="Times New Roman" w:hAnsi="Times New Roman"/>
          <w:sz w:val="21"/>
          <w:szCs w:val="21"/>
          <w:color w:val="auto"/>
        </w:rPr>
        <w:t xml:space="preserve">. Each of the Loan Parties hereby expressly (a) acknowledges the terms of this Fifth Amendment, (b) ratifies and affirms its obligations under the Loan Documents to which it is a party, (c) acknowledges and renews its continued liability under the Loan Documents to which it is a party, (d) agrees, with respect to each Loan Party that is a Guarantor, that its guarantee under the Guaranty remains in full force and effect with respect to the Obligations as amended hereby, (e) represents and warrants to the Lenders and the Administrative Agent that each representation and warranty of such Loan Party contained in the Credit Agreement and the other Loan Documents to which it is a party is true and correct in all material respects as of the date hereof, after giving effect to the amendments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hereof, except (i) to the extent any such representations and warranties are expressly limited to an earlier date, in which case, on and as of the date hereof, such representations and warranties shall continue to be true and correct in all material respects as of such specified earlier date, and (ii) to the extent that any such representation and warranty is expressly qualified by materiality or by reference to Material Adverse Effect, such representation and warranty (as so qualified) shall continue to be true and correct in all respects, (f) represents and warrants to the Lenders and the Administrative Agent that the execution, delivery and performance by such Loan Party of this Fifth Amendment are within such Loan Party’s corporate, limited partnership or limited liability company powers (as applicable), have been duly authorized by all necessary action and that this Fifth Amendment constitutes the valid and binding obligation of such Loan Party enforceable in accordance with its terms, except as the enforceability thereof may be limited by bankruptcy, insolvency or similar laws affecting creditor’s rights generally and (g) represents and warrants to the Lenders and the Administrative Agent that, immediately after giving effect to this Fifth Amendment, no Default exists.</w:t>
      </w:r>
    </w:p>
    <w:p>
      <w:pPr>
        <w:spacing w:after="0" w:line="156"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xml:space="preserve">. This Fifth Amendment may be executed by one or more of the parties hereto in any number of separate counterparts, and all of such counterparts taken together shall be deemed to constitute one and the same instrument. Delivery of this Fifth Amendment by fax or electronic transmission (e.g., “.pdf”) shall be effective as delivery of a manually executed original counterpart hereof. The execution and delivery of this Fifth Amendment shall be deemed to include electronic signatures on electronic platforms approved by the Administrative Agent, which shall be of the same legal effect, validity or enforceability as delivery of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upon the request of any party hereto, such electronic signature shall be promptly followed by the original thereof.</w:t>
      </w:r>
    </w:p>
    <w:p>
      <w:pPr>
        <w:spacing w:after="0" w:line="155"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No Oral Agreement</w:t>
      </w:r>
      <w:r>
        <w:rPr>
          <w:rFonts w:ascii="Times New Roman" w:cs="Times New Roman" w:eastAsia="Times New Roman" w:hAnsi="Times New Roman"/>
          <w:sz w:val="21"/>
          <w:szCs w:val="21"/>
          <w:color w:val="auto"/>
        </w:rPr>
        <w:t>. This written Fifth Amendment, the Credit Agreement and the other Loan Documents executed in connection herewith and therewith represent the final agreement between the parties hereto or thereto and may not be contradicted by evidence of prior, contemporaneous, or unwritten oral agreements of the parties. There are no subsequent oral agreements between the parties that modify the agreements of the parties in the Credit Agreement and the other Loan Documents.</w:t>
      </w:r>
    </w:p>
    <w:p>
      <w:pPr>
        <w:spacing w:after="0" w:line="150"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8.5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Fifth Amendment (including, but not limited to, the validity and enforceability hereof) shall be governed by, and construed in accordance with, the laws of the State of Texas.</w:t>
      </w:r>
    </w:p>
    <w:p>
      <w:pPr>
        <w:spacing w:after="0" w:line="143"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auto"/>
        </w:rPr>
        <w:t>Payment of Expenses</w:t>
      </w:r>
      <w:r>
        <w:rPr>
          <w:rFonts w:ascii="Times New Roman" w:cs="Times New Roman" w:eastAsia="Times New Roman" w:hAnsi="Times New Roman"/>
          <w:sz w:val="21"/>
          <w:szCs w:val="21"/>
          <w:color w:val="auto"/>
        </w:rPr>
        <w:t>. The Borrower agrees to pay or reimburse the Administrative Agent for all of its reasonable out-of-pocket costs and expenses incurred in connection with this Fifth Amendment, any other documents prepared in connection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Page 4</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LEGAL_US_W # 183081065.3</w:t>
      </w:r>
    </w:p>
    <w:p>
      <w:pPr>
        <w:sectPr>
          <w:pgSz w:w="11900" w:h="16838" w:orient="portrait"/>
          <w:cols w:equalWidth="0" w:num="1">
            <w:col w:w="11240"/>
          </w:cols>
          <w:pgMar w:left="320" w:top="1371" w:right="339" w:bottom="1440" w:gutter="0" w:footer="0" w:header="0"/>
        </w:sectPr>
      </w:pPr>
    </w:p>
    <w:bookmarkStart w:id="40" w:name="page41"/>
    <w:bookmarkEnd w:id="40"/>
    <w:p>
      <w:pPr>
        <w:jc w:val="both"/>
        <w:spacing w:after="0" w:line="245" w:lineRule="auto"/>
        <w:rPr>
          <w:sz w:val="20"/>
          <w:szCs w:val="20"/>
          <w:color w:val="auto"/>
        </w:rPr>
      </w:pPr>
      <w:r>
        <w:rPr>
          <w:rFonts w:ascii="Times New Roman" w:cs="Times New Roman" w:eastAsia="Times New Roman" w:hAnsi="Times New Roman"/>
          <w:sz w:val="21"/>
          <w:szCs w:val="21"/>
          <w:color w:val="auto"/>
        </w:rPr>
        <w:t>and the transactions contemplated hereby, including, without limitation, the reasonable fees and disbursements of counsel to the Administrative Agent.</w:t>
      </w:r>
    </w:p>
    <w:p>
      <w:pPr>
        <w:spacing w:after="0" w:line="143"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 xml:space="preserve">8.7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Any provision of this Fifth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0"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 xml:space="preserve">8.8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Fifth Amendment shall be binding upon and inure to the benefit of the parties hereto and their respective successors and permitted assigns.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Page 5</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LEGAL_US_W # 183081065.3</w:t>
      </w:r>
    </w:p>
    <w:p>
      <w:pPr>
        <w:sectPr>
          <w:pgSz w:w="11900" w:h="16838" w:orient="portrait"/>
          <w:cols w:equalWidth="0" w:num="1">
            <w:col w:w="11240"/>
          </w:cols>
          <w:pgMar w:left="320" w:top="1371" w:right="339"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21"/>
          <w:szCs w:val="21"/>
          <w:color w:val="auto"/>
        </w:rPr>
        <w:t>The parties hereto have caused this Fifth Amendment to be duly executed as of the day and year first above written.</w:t>
      </w:r>
    </w:p>
    <w:p>
      <w:pPr>
        <w:spacing w:after="0" w:line="200" w:lineRule="exact"/>
        <w:rPr>
          <w:sz w:val="20"/>
          <w:szCs w:val="20"/>
          <w:color w:val="auto"/>
        </w:rPr>
      </w:pPr>
    </w:p>
    <w:p>
      <w:pPr>
        <w:spacing w:after="0" w:line="23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1"/>
          <w:szCs w:val="21"/>
          <w:b w:val="1"/>
          <w:bCs w:val="1"/>
          <w:color w:val="auto"/>
        </w:rPr>
        <w:t>BORROWER:</w:t>
        <w:tab/>
        <w:t>GRANITE RIDGE RESOURCES, INC.</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238" w:lineRule="exact"/>
        <w:rPr>
          <w:sz w:val="20"/>
          <w:szCs w:val="20"/>
          <w:color w:val="auto"/>
        </w:rPr>
      </w:pPr>
    </w:p>
    <w:p>
      <w:pPr>
        <w:ind w:left="4460"/>
        <w:spacing w:after="0"/>
        <w:tabs>
          <w:tab w:leader="none" w:pos="4960" w:val="left"/>
        </w:tabs>
        <w:rPr>
          <w:sz w:val="20"/>
          <w:szCs w:val="20"/>
          <w:color w:val="auto"/>
        </w:rPr>
      </w:pPr>
      <w:r>
        <w:rPr>
          <w:rFonts w:ascii="Times New Roman" w:cs="Times New Roman" w:eastAsia="Times New Roman" w:hAnsi="Times New Roman"/>
          <w:sz w:val="21"/>
          <w:szCs w:val="21"/>
          <w:color w:val="auto"/>
        </w:rPr>
        <w:t>By:</w:t>
        <w:tab/>
        <w:t>/s/ Luke C. Brandenberg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-8890</wp:posOffset>
            </wp:positionV>
            <wp:extent cx="1590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4" w:lineRule="exact"/>
        <w:rPr>
          <w:sz w:val="20"/>
          <w:szCs w:val="20"/>
          <w:color w:val="auto"/>
        </w:rPr>
      </w:pPr>
    </w:p>
    <w:p>
      <w:pPr>
        <w:ind w:left="4460"/>
        <w:spacing w:after="0"/>
        <w:tabs>
          <w:tab w:leader="none" w:pos="5220" w:val="left"/>
        </w:tabs>
        <w:rPr>
          <w:sz w:val="20"/>
          <w:szCs w:val="20"/>
          <w:color w:val="auto"/>
        </w:rPr>
      </w:pPr>
      <w:r>
        <w:rPr>
          <w:rFonts w:ascii="Times New Roman" w:cs="Times New Roman" w:eastAsia="Times New Roman" w:hAnsi="Times New Roman"/>
          <w:sz w:val="21"/>
          <w:szCs w:val="21"/>
          <w:color w:val="auto"/>
        </w:rPr>
        <w:t>Name:</w:t>
        <w:tab/>
        <w:t>Luke C. Brandenberg</w:t>
      </w:r>
    </w:p>
    <w:p>
      <w:pPr>
        <w:spacing w:after="0" w:line="10" w:lineRule="exact"/>
        <w:rPr>
          <w:sz w:val="20"/>
          <w:szCs w:val="20"/>
          <w:color w:val="auto"/>
        </w:rPr>
      </w:pPr>
    </w:p>
    <w:p>
      <w:pPr>
        <w:ind w:left="4460"/>
        <w:spacing w:after="0"/>
        <w:tabs>
          <w:tab w:leader="none" w:pos="5100" w:val="left"/>
        </w:tabs>
        <w:rPr>
          <w:sz w:val="20"/>
          <w:szCs w:val="20"/>
          <w:color w:val="auto"/>
        </w:rPr>
      </w:pPr>
      <w:r>
        <w:rPr>
          <w:rFonts w:ascii="Times New Roman" w:cs="Times New Roman" w:eastAsia="Times New Roman" w:hAnsi="Times New Roman"/>
          <w:sz w:val="21"/>
          <w:szCs w:val="21"/>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[Signature Page to Fifth Amendment to Credit Agreement</w:t>
      </w:r>
    </w:p>
    <w:p>
      <w:pPr>
        <w:spacing w:after="0" w:line="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10460"/>
          </w:cols>
          <w:pgMar w:left="320" w:top="1397" w:right="11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b w:val="1"/>
          <w:bCs w:val="1"/>
          <w:color w:val="auto"/>
        </w:rPr>
        <w:t>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GRANITE RIDGE HOLDINGS, LLC</w:t>
      </w:r>
      <w:r>
        <w:rPr>
          <w:rFonts w:ascii="Times New Roman" w:cs="Times New Roman" w:eastAsia="Times New Roman" w:hAnsi="Times New Roman"/>
          <w:sz w:val="21"/>
          <w:szCs w:val="21"/>
          <w:color w:val="auto"/>
        </w:rPr>
        <w:t>,</w:t>
      </w:r>
    </w:p>
    <w:p>
      <w:pPr>
        <w:spacing w:after="0" w:line="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a Delaware limited liability company</w:t>
      </w:r>
    </w:p>
    <w:p>
      <w:pPr>
        <w:spacing w:after="0" w:line="237" w:lineRule="exact"/>
        <w:rPr>
          <w:sz w:val="20"/>
          <w:szCs w:val="20"/>
          <w:color w:val="auto"/>
        </w:rPr>
      </w:pPr>
    </w:p>
    <w:p>
      <w:pPr>
        <w:ind w:left="4460"/>
        <w:spacing w:after="0"/>
        <w:tabs>
          <w:tab w:leader="none" w:pos="4960" w:val="left"/>
        </w:tabs>
        <w:rPr>
          <w:sz w:val="20"/>
          <w:szCs w:val="20"/>
          <w:color w:val="auto"/>
        </w:rPr>
      </w:pPr>
      <w:r>
        <w:rPr>
          <w:rFonts w:ascii="Times New Roman" w:cs="Times New Roman" w:eastAsia="Times New Roman" w:hAnsi="Times New Roman"/>
          <w:sz w:val="21"/>
          <w:szCs w:val="21"/>
          <w:color w:val="auto"/>
        </w:rPr>
        <w:t>By:</w:t>
        <w:tab/>
        <w:t>/s/ Luke C. Brandenberg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-8890</wp:posOffset>
            </wp:positionV>
            <wp:extent cx="15900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4" w:lineRule="exact"/>
        <w:rPr>
          <w:sz w:val="20"/>
          <w:szCs w:val="20"/>
          <w:color w:val="auto"/>
        </w:rPr>
      </w:pPr>
    </w:p>
    <w:p>
      <w:pPr>
        <w:ind w:left="4460"/>
        <w:spacing w:after="0"/>
        <w:tabs>
          <w:tab w:leader="none" w:pos="5220" w:val="left"/>
        </w:tabs>
        <w:rPr>
          <w:sz w:val="20"/>
          <w:szCs w:val="20"/>
          <w:color w:val="auto"/>
        </w:rPr>
      </w:pPr>
      <w:r>
        <w:rPr>
          <w:rFonts w:ascii="Times New Roman" w:cs="Times New Roman" w:eastAsia="Times New Roman" w:hAnsi="Times New Roman"/>
          <w:sz w:val="21"/>
          <w:szCs w:val="21"/>
          <w:color w:val="auto"/>
        </w:rPr>
        <w:t>Name:</w:t>
        <w:tab/>
        <w:t>Luke C. Brandenberg</w:t>
      </w:r>
    </w:p>
    <w:p>
      <w:pPr>
        <w:spacing w:after="0" w:line="10" w:lineRule="exact"/>
        <w:rPr>
          <w:sz w:val="20"/>
          <w:szCs w:val="20"/>
          <w:color w:val="auto"/>
        </w:rPr>
      </w:pPr>
    </w:p>
    <w:p>
      <w:pPr>
        <w:jc w:val="right"/>
        <w:ind w:right="1779"/>
        <w:spacing w:after="0"/>
        <w:tabs>
          <w:tab w:leader="none" w:pos="3220" w:val="left"/>
        </w:tabs>
        <w:rPr>
          <w:sz w:val="20"/>
          <w:szCs w:val="20"/>
          <w:color w:val="auto"/>
        </w:rPr>
      </w:pPr>
      <w:r>
        <w:rPr>
          <w:rFonts w:ascii="Times New Roman" w:cs="Times New Roman" w:eastAsia="Times New Roman" w:hAnsi="Times New Roman"/>
          <w:sz w:val="21"/>
          <w:szCs w:val="21"/>
          <w:color w:val="auto"/>
        </w:rPr>
        <w:t>Title:</w:t>
        <w:tab/>
        <w:t>President and Chief Executive Officer</w:t>
      </w:r>
    </w:p>
    <w:p>
      <w:pPr>
        <w:spacing w:after="0" w:line="2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GRANITE RIDGE REEVES, LLC</w:t>
      </w:r>
      <w:r>
        <w:rPr>
          <w:rFonts w:ascii="Times New Roman" w:cs="Times New Roman" w:eastAsia="Times New Roman" w:hAnsi="Times New Roman"/>
          <w:sz w:val="21"/>
          <w:szCs w:val="21"/>
          <w:color w:val="auto"/>
        </w:rPr>
        <w:t>,</w:t>
      </w:r>
    </w:p>
    <w:p>
      <w:pPr>
        <w:spacing w:after="0" w:line="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a Delaware limited liability company</w:t>
      </w:r>
    </w:p>
    <w:p>
      <w:pPr>
        <w:spacing w:after="0" w:line="237" w:lineRule="exact"/>
        <w:rPr>
          <w:sz w:val="20"/>
          <w:szCs w:val="20"/>
          <w:color w:val="auto"/>
        </w:rPr>
      </w:pPr>
    </w:p>
    <w:p>
      <w:pPr>
        <w:ind w:left="4460"/>
        <w:spacing w:after="0"/>
        <w:tabs>
          <w:tab w:leader="none" w:pos="4960" w:val="left"/>
        </w:tabs>
        <w:rPr>
          <w:sz w:val="20"/>
          <w:szCs w:val="20"/>
          <w:color w:val="auto"/>
        </w:rPr>
      </w:pPr>
      <w:r>
        <w:rPr>
          <w:rFonts w:ascii="Times New Roman" w:cs="Times New Roman" w:eastAsia="Times New Roman" w:hAnsi="Times New Roman"/>
          <w:sz w:val="21"/>
          <w:szCs w:val="21"/>
          <w:color w:val="auto"/>
        </w:rPr>
        <w:t>By:</w:t>
        <w:tab/>
        <w:t>/s/ Luke C. Brandenberg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-8890</wp:posOffset>
            </wp:positionV>
            <wp:extent cx="1590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4" w:lineRule="exact"/>
        <w:rPr>
          <w:sz w:val="20"/>
          <w:szCs w:val="20"/>
          <w:color w:val="auto"/>
        </w:rPr>
      </w:pPr>
    </w:p>
    <w:p>
      <w:pPr>
        <w:ind w:left="4460"/>
        <w:spacing w:after="0"/>
        <w:tabs>
          <w:tab w:leader="none" w:pos="5220" w:val="left"/>
        </w:tabs>
        <w:rPr>
          <w:sz w:val="20"/>
          <w:szCs w:val="20"/>
          <w:color w:val="auto"/>
        </w:rPr>
      </w:pPr>
      <w:r>
        <w:rPr>
          <w:rFonts w:ascii="Times New Roman" w:cs="Times New Roman" w:eastAsia="Times New Roman" w:hAnsi="Times New Roman"/>
          <w:sz w:val="21"/>
          <w:szCs w:val="21"/>
          <w:color w:val="auto"/>
        </w:rPr>
        <w:t>Name:</w:t>
        <w:tab/>
        <w:t>Luke C. Brandenberg</w:t>
      </w:r>
    </w:p>
    <w:p>
      <w:pPr>
        <w:spacing w:after="0" w:line="10" w:lineRule="exact"/>
        <w:rPr>
          <w:sz w:val="20"/>
          <w:szCs w:val="20"/>
          <w:color w:val="auto"/>
        </w:rPr>
      </w:pPr>
    </w:p>
    <w:p>
      <w:pPr>
        <w:jc w:val="right"/>
        <w:ind w:right="1779"/>
        <w:spacing w:after="0"/>
        <w:tabs>
          <w:tab w:leader="none" w:pos="3220" w:val="left"/>
        </w:tabs>
        <w:rPr>
          <w:sz w:val="20"/>
          <w:szCs w:val="20"/>
          <w:color w:val="auto"/>
        </w:rPr>
      </w:pPr>
      <w:r>
        <w:rPr>
          <w:rFonts w:ascii="Times New Roman" w:cs="Times New Roman" w:eastAsia="Times New Roman" w:hAnsi="Times New Roman"/>
          <w:sz w:val="21"/>
          <w:szCs w:val="21"/>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[Signature Page to Fifth Amendment to Credit Agreement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10139"/>
          </w:cols>
          <w:pgMar w:left="320" w:top="1393" w:right="1440" w:bottom="1440" w:gutter="0" w:footer="0" w:header="0"/>
        </w:sectPr>
      </w:pPr>
    </w:p>
    <w:bookmarkStart w:id="43" w:name="page44"/>
    <w:bookmarkEnd w:id="43"/>
    <w:p>
      <w:pPr>
        <w:ind w:left="3340"/>
        <w:spacing w:after="0"/>
        <w:rPr>
          <w:sz w:val="20"/>
          <w:szCs w:val="20"/>
          <w:color w:val="auto"/>
        </w:rPr>
      </w:pPr>
      <w:r>
        <w:rPr>
          <w:rFonts w:ascii="Times New Roman" w:cs="Times New Roman" w:eastAsia="Times New Roman" w:hAnsi="Times New Roman"/>
          <w:sz w:val="21"/>
          <w:szCs w:val="21"/>
          <w:b w:val="1"/>
          <w:bCs w:val="1"/>
          <w:color w:val="auto"/>
        </w:rPr>
        <w:t>BANK OF AMERICA, N.A.</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Don B. Pinzon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3614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Don B. Pinzon</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393" w:right="1440" w:bottom="1440" w:gutter="0" w:footer="0" w:header="0"/>
        </w:sectPr>
      </w:pPr>
    </w:p>
    <w:bookmarkStart w:id="44" w:name="page45"/>
    <w:bookmarkEnd w:id="44"/>
    <w:p>
      <w:pPr>
        <w:ind w:left="3340"/>
        <w:spacing w:after="0"/>
        <w:rPr>
          <w:sz w:val="20"/>
          <w:szCs w:val="20"/>
          <w:color w:val="auto"/>
        </w:rPr>
      </w:pPr>
      <w:r>
        <w:rPr>
          <w:rFonts w:ascii="Times New Roman" w:cs="Times New Roman" w:eastAsia="Times New Roman" w:hAnsi="Times New Roman"/>
          <w:sz w:val="21"/>
          <w:szCs w:val="21"/>
          <w:b w:val="1"/>
          <w:bCs w:val="1"/>
          <w:color w:val="auto"/>
        </w:rPr>
        <w:t>BANK OF AMERICA, N.A.</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 Lender</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Kimberly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4509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450975"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Kimberly Miller</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393" w:right="1440" w:bottom="1440" w:gutter="0" w:footer="0" w:header="0"/>
        </w:sectPr>
      </w:pPr>
    </w:p>
    <w:bookmarkStart w:id="45" w:name="page46"/>
    <w:bookmarkEnd w:id="45"/>
    <w:p>
      <w:pPr>
        <w:ind w:left="3340"/>
        <w:spacing w:after="0"/>
        <w:rPr>
          <w:sz w:val="20"/>
          <w:szCs w:val="20"/>
          <w:color w:val="auto"/>
        </w:rPr>
      </w:pPr>
      <w:r>
        <w:rPr>
          <w:rFonts w:ascii="Times New Roman" w:cs="Times New Roman" w:eastAsia="Times New Roman" w:hAnsi="Times New Roman"/>
          <w:sz w:val="20"/>
          <w:szCs w:val="20"/>
          <w:b w:val="1"/>
          <w:bCs w:val="1"/>
          <w:color w:val="auto"/>
        </w:rPr>
        <w:t>CAPITAL ONE, NATIONAL ASSOCIATION</w:t>
      </w:r>
      <w:r>
        <w:rPr>
          <w:rFonts w:ascii="Times New Roman" w:cs="Times New Roman" w:eastAsia="Times New Roman" w:hAnsi="Times New Roman"/>
          <w:sz w:val="20"/>
          <w:szCs w:val="20"/>
          <w:color w:val="auto"/>
        </w:rPr>
        <w:t>,</w:t>
      </w:r>
    </w:p>
    <w:p>
      <w:pPr>
        <w:spacing w:after="0" w:line="5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 Lender</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David Lee Garza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4839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483995"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David Lee Garza</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393" w:right="1440" w:bottom="1440" w:gutter="0" w:footer="0" w:header="0"/>
        </w:sectPr>
      </w:pPr>
    </w:p>
    <w:bookmarkStart w:id="46" w:name="page47"/>
    <w:bookmarkEnd w:id="46"/>
    <w:p>
      <w:pPr>
        <w:ind w:left="3340"/>
        <w:spacing w:after="0"/>
        <w:rPr>
          <w:sz w:val="20"/>
          <w:szCs w:val="20"/>
          <w:color w:val="auto"/>
        </w:rPr>
      </w:pPr>
      <w:r>
        <w:rPr>
          <w:rFonts w:ascii="Times New Roman" w:cs="Times New Roman" w:eastAsia="Times New Roman" w:hAnsi="Times New Roman"/>
          <w:sz w:val="21"/>
          <w:szCs w:val="21"/>
          <w:b w:val="1"/>
          <w:bCs w:val="1"/>
          <w:color w:val="auto"/>
        </w:rPr>
        <w:t>CITIBANK, N.A.</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 Lender</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Nicholas Rischard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555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555115"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Nicholas Rischard</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393" w:right="1440" w:bottom="1440" w:gutter="0" w:footer="0" w:header="0"/>
        </w:sectPr>
      </w:pPr>
    </w:p>
    <w:bookmarkStart w:id="47" w:name="page48"/>
    <w:bookmarkEnd w:id="47"/>
    <w:p>
      <w:pPr>
        <w:ind w:left="3340"/>
        <w:spacing w:after="0"/>
        <w:rPr>
          <w:sz w:val="20"/>
          <w:szCs w:val="20"/>
          <w:color w:val="auto"/>
        </w:rPr>
      </w:pPr>
      <w:r>
        <w:rPr>
          <w:rFonts w:ascii="Times New Roman" w:cs="Times New Roman" w:eastAsia="Times New Roman" w:hAnsi="Times New Roman"/>
          <w:sz w:val="21"/>
          <w:szCs w:val="21"/>
          <w:b w:val="1"/>
          <w:bCs w:val="1"/>
          <w:color w:val="auto"/>
        </w:rPr>
        <w:t>CITIZENS BANK, N.A.</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 Lender</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David Baron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2560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David Baron</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393" w:right="1440" w:bottom="1440" w:gutter="0" w:footer="0" w:header="0"/>
        </w:sectPr>
      </w:pPr>
    </w:p>
    <w:bookmarkStart w:id="48" w:name="page49"/>
    <w:bookmarkEnd w:id="48"/>
    <w:p>
      <w:pPr>
        <w:ind w:left="3340" w:right="819"/>
        <w:spacing w:after="0" w:line="289" w:lineRule="auto"/>
        <w:rPr>
          <w:sz w:val="20"/>
          <w:szCs w:val="20"/>
          <w:color w:val="auto"/>
        </w:rPr>
      </w:pPr>
      <w:r>
        <w:rPr>
          <w:rFonts w:ascii="Times New Roman" w:cs="Times New Roman" w:eastAsia="Times New Roman" w:hAnsi="Times New Roman"/>
          <w:sz w:val="21"/>
          <w:szCs w:val="21"/>
          <w:b w:val="1"/>
          <w:bCs w:val="1"/>
          <w:color w:val="auto"/>
        </w:rPr>
        <w:t>FIFTH THIRD BANK, NATIONAL ASSOCIATION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 Lender</w:t>
      </w:r>
    </w:p>
    <w:p>
      <w:pPr>
        <w:spacing w:after="0" w:line="164"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Thomas Kleiderer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5405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540510"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Thomas Kleiderer</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393" w:right="1440"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50" w:name="page51"/>
    <w:bookmarkEnd w:id="50"/>
    <w:p>
      <w:pPr>
        <w:spacing w:after="0" w:line="192" w:lineRule="exact"/>
        <w:rPr>
          <w:sz w:val="20"/>
          <w:szCs w:val="20"/>
          <w:color w:val="auto"/>
        </w:rPr>
      </w:pPr>
    </w:p>
    <w:p>
      <w:pPr>
        <w:ind w:left="3340" w:right="1139"/>
        <w:spacing w:after="0" w:line="289" w:lineRule="auto"/>
        <w:rPr>
          <w:sz w:val="20"/>
          <w:szCs w:val="20"/>
          <w:color w:val="auto"/>
        </w:rPr>
      </w:pPr>
      <w:r>
        <w:rPr>
          <w:rFonts w:ascii="Times New Roman" w:cs="Times New Roman" w:eastAsia="Times New Roman" w:hAnsi="Times New Roman"/>
          <w:sz w:val="21"/>
          <w:szCs w:val="21"/>
          <w:b w:val="1"/>
          <w:bCs w:val="1"/>
          <w:color w:val="auto"/>
        </w:rPr>
        <w:t>FIRST-CITIZENS BANK &amp; TRUST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 Lender</w:t>
      </w:r>
    </w:p>
    <w:p>
      <w:pPr>
        <w:spacing w:after="0" w:line="164"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John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346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John Feeley</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52" w:name="page53"/>
    <w:bookmarkEnd w:id="52"/>
    <w:p>
      <w:pPr>
        <w:spacing w:after="0" w:line="1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KEYBANK NATIONAL ASSOCIATION</w:t>
      </w:r>
      <w:r>
        <w:rPr>
          <w:rFonts w:ascii="Times New Roman" w:cs="Times New Roman" w:eastAsia="Times New Roman" w:hAnsi="Times New Roman"/>
          <w:sz w:val="20"/>
          <w:szCs w:val="20"/>
          <w:color w:val="auto"/>
        </w:rPr>
        <w:t>,</w:t>
      </w:r>
    </w:p>
    <w:p>
      <w:pPr>
        <w:spacing w:after="0" w:line="5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 Lender</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David Bornstein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4509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450975"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David Bornstein</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54" w:name="page55"/>
    <w:bookmarkEnd w:id="54"/>
    <w:p>
      <w:pPr>
        <w:spacing w:after="0" w:line="1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U.S. BANK NATIONAL ASSOCIATION</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 Lender</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Chris Douglass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3912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391285"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Chris Douglass</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56" w:name="page57"/>
    <w:bookmarkEnd w:id="56"/>
    <w:p>
      <w:pPr>
        <w:spacing w:after="0" w:line="192" w:lineRule="exact"/>
        <w:rPr>
          <w:sz w:val="20"/>
          <w:szCs w:val="20"/>
          <w:color w:val="auto"/>
        </w:rPr>
      </w:pPr>
    </w:p>
    <w:p>
      <w:pPr>
        <w:ind w:left="3340" w:right="319"/>
        <w:spacing w:after="0" w:line="289" w:lineRule="auto"/>
        <w:rPr>
          <w:sz w:val="20"/>
          <w:szCs w:val="20"/>
          <w:color w:val="auto"/>
        </w:rPr>
      </w:pPr>
      <w:r>
        <w:rPr>
          <w:rFonts w:ascii="Times New Roman" w:cs="Times New Roman" w:eastAsia="Times New Roman" w:hAnsi="Times New Roman"/>
          <w:sz w:val="21"/>
          <w:szCs w:val="21"/>
          <w:b w:val="1"/>
          <w:bCs w:val="1"/>
          <w:color w:val="auto"/>
        </w:rPr>
        <w:t>ZIONS BANCORPORATION, N.A. DBA AMEGY BANK</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 Lender</w:t>
      </w:r>
    </w:p>
    <w:p>
      <w:pPr>
        <w:spacing w:after="0" w:line="164"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Kathlin Ardell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3462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Kathlin Ardell</w:t>
      </w:r>
    </w:p>
    <w:p>
      <w:pPr>
        <w:spacing w:after="0" w:line="22" w:lineRule="exact"/>
        <w:rPr>
          <w:sz w:val="20"/>
          <w:szCs w:val="20"/>
          <w:color w:val="auto"/>
        </w:rPr>
      </w:pPr>
    </w:p>
    <w:p>
      <w:pPr>
        <w:jc w:val="center"/>
        <w:ind w:right="-160"/>
        <w:spacing w:after="0"/>
        <w:tabs>
          <w:tab w:leader="none" w:pos="180" w:val="left"/>
        </w:tabs>
        <w:rPr>
          <w:sz w:val="20"/>
          <w:szCs w:val="20"/>
          <w:color w:val="auto"/>
        </w:rPr>
      </w:pPr>
      <w:r>
        <w:rPr>
          <w:rFonts w:ascii="Times New Roman" w:cs="Times New Roman" w:eastAsia="Times New Roman" w:hAnsi="Times New Roman"/>
          <w:sz w:val="21"/>
          <w:szCs w:val="21"/>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58" w:name="page59"/>
    <w:bookmarkEnd w:id="58"/>
    <w:p>
      <w:pPr>
        <w:spacing w:after="0" w:line="1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COMERICA BANK</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 Lender</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Cassandra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4732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Cassandra Lucas</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60" w:name="page61"/>
    <w:bookmarkEnd w:id="60"/>
    <w:p>
      <w:pPr>
        <w:spacing w:after="0" w:line="1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CROSSFIRST BANK</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 Lender</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Bill Vertin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2636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Bill Vertin</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tab/>
        <w:t>Director, Energy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62" w:name="page63"/>
    <w:bookmarkEnd w:id="62"/>
    <w:p>
      <w:pPr>
        <w:spacing w:after="0" w:line="1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FIRST HORIZON BANK</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 Lender</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Moni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27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Moni Collins</w:t>
      </w:r>
    </w:p>
    <w:p>
      <w:pPr>
        <w:spacing w:after="0" w:line="22" w:lineRule="exact"/>
        <w:rPr>
          <w:sz w:val="20"/>
          <w:szCs w:val="20"/>
          <w:color w:val="auto"/>
        </w:rPr>
      </w:pPr>
    </w:p>
    <w:p>
      <w:pPr>
        <w:jc w:val="center"/>
        <w:ind w:right="-160"/>
        <w:spacing w:after="0"/>
        <w:tabs>
          <w:tab w:leader="none" w:pos="180" w:val="left"/>
        </w:tabs>
        <w:rPr>
          <w:sz w:val="20"/>
          <w:szCs w:val="20"/>
          <w:color w:val="auto"/>
        </w:rPr>
      </w:pPr>
      <w:r>
        <w:rPr>
          <w:rFonts w:ascii="Times New Roman" w:cs="Times New Roman" w:eastAsia="Times New Roman" w:hAnsi="Times New Roman"/>
          <w:sz w:val="21"/>
          <w:szCs w:val="21"/>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64" w:name="page65"/>
    <w:bookmarkEnd w:id="64"/>
    <w:p>
      <w:pPr>
        <w:spacing w:after="0" w:line="1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TEXAS CAPITAL BANK</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 Lender</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Jared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301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Jared Mills</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66" w:name="page67"/>
    <w:bookmarkEnd w:id="66"/>
    <w:p>
      <w:pPr>
        <w:spacing w:after="0" w:line="19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UMB BANK, N.A.</w:t>
      </w:r>
      <w:r>
        <w:rPr>
          <w:rFonts w:ascii="Times New Roman" w:cs="Times New Roman" w:eastAsia="Times New Roman" w:hAnsi="Times New Roman"/>
          <w:sz w:val="21"/>
          <w:szCs w:val="21"/>
          <w:color w:val="auto"/>
        </w:rPr>
        <w:t>,</w:t>
      </w:r>
    </w:p>
    <w:p>
      <w:pPr>
        <w:spacing w:after="0" w:line="3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as a Lender</w:t>
      </w:r>
    </w:p>
    <w:p>
      <w:pPr>
        <w:spacing w:after="0" w:line="225" w:lineRule="exact"/>
        <w:rPr>
          <w:sz w:val="20"/>
          <w:szCs w:val="20"/>
          <w:color w:val="auto"/>
        </w:rPr>
      </w:pPr>
    </w:p>
    <w:p>
      <w:pPr>
        <w:ind w:left="3340"/>
        <w:spacing w:after="0"/>
        <w:tabs>
          <w:tab w:leader="none" w:pos="3840" w:val="left"/>
        </w:tabs>
        <w:rPr>
          <w:sz w:val="20"/>
          <w:szCs w:val="20"/>
          <w:color w:val="auto"/>
        </w:rPr>
      </w:pPr>
      <w:r>
        <w:rPr>
          <w:rFonts w:ascii="Times New Roman" w:cs="Times New Roman" w:eastAsia="Times New Roman" w:hAnsi="Times New Roman"/>
          <w:sz w:val="21"/>
          <w:szCs w:val="21"/>
          <w:color w:val="auto"/>
        </w:rPr>
        <w:t>By:</w:t>
        <w:tab/>
        <w:t>/s/ Zachary S. Leard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14954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495425" cy="8255"/>
                    </a:xfrm>
                    <a:prstGeom prst="rect">
                      <a:avLst/>
                    </a:prstGeom>
                    <a:noFill/>
                  </pic:spPr>
                </pic:pic>
              </a:graphicData>
            </a:graphic>
          </wp:anchor>
        </w:drawing>
      </w:r>
    </w:p>
    <w:p>
      <w:pPr>
        <w:spacing w:after="0" w:line="15" w:lineRule="exact"/>
        <w:rPr>
          <w:sz w:val="20"/>
          <w:szCs w:val="20"/>
          <w:color w:val="auto"/>
        </w:rPr>
      </w:pPr>
    </w:p>
    <w:p>
      <w:pPr>
        <w:ind w:left="3340"/>
        <w:spacing w:after="0"/>
        <w:tabs>
          <w:tab w:leader="none" w:pos="4100" w:val="left"/>
        </w:tabs>
        <w:rPr>
          <w:sz w:val="20"/>
          <w:szCs w:val="20"/>
          <w:color w:val="auto"/>
        </w:rPr>
      </w:pPr>
      <w:r>
        <w:rPr>
          <w:rFonts w:ascii="Times New Roman" w:cs="Times New Roman" w:eastAsia="Times New Roman" w:hAnsi="Times New Roman"/>
          <w:sz w:val="21"/>
          <w:szCs w:val="21"/>
          <w:color w:val="auto"/>
        </w:rPr>
        <w:t>Name:</w:t>
        <w:tab/>
        <w:t>Zachary S. Leard</w:t>
      </w:r>
    </w:p>
    <w:p>
      <w:pPr>
        <w:spacing w:after="0" w:line="22" w:lineRule="exact"/>
        <w:rPr>
          <w:sz w:val="20"/>
          <w:szCs w:val="20"/>
          <w:color w:val="auto"/>
        </w:rPr>
      </w:pPr>
    </w:p>
    <w:p>
      <w:pPr>
        <w:ind w:left="3340"/>
        <w:spacing w:after="0"/>
        <w:tabs>
          <w:tab w:leader="none" w:pos="39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Credit Agreement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Granite Ridge Resources, Inc.]</w:t>
      </w:r>
    </w:p>
    <w:p>
      <w:pPr>
        <w:sectPr>
          <w:pgSz w:w="11900" w:h="16838" w:orient="portrait"/>
          <w:cols w:equalWidth="0" w:num="1">
            <w:col w:w="9019"/>
          </w:cols>
          <w:pgMar w:left="1440" w:top="1440" w:right="1440"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2.1</w:t>
      </w: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Maximum Credit Amount, Elected Commitments and Applicable Percentages</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820" w:type="dxa"/>
            <w:vAlign w:val="bottom"/>
            <w:tcBorders>
              <w:top w:val="single" w:sz="8" w:color="auto"/>
              <w:left w:val="single" w:sz="8" w:color="auto"/>
              <w:right w:val="single" w:sz="8" w:color="auto"/>
            </w:tcBorders>
            <w:vMerge w:val="restart"/>
            <w:shd w:val="clear" w:color="auto" w:fill="D9D9D9"/>
          </w:tcPr>
          <w:p>
            <w:pPr>
              <w:ind w:left="1400"/>
              <w:spacing w:after="0"/>
              <w:rPr>
                <w:sz w:val="20"/>
                <w:szCs w:val="20"/>
                <w:color w:val="auto"/>
              </w:rPr>
            </w:pPr>
            <w:r>
              <w:rPr>
                <w:rFonts w:ascii="Times New Roman" w:cs="Times New Roman" w:eastAsia="Times New Roman" w:hAnsi="Times New Roman"/>
                <w:sz w:val="21"/>
                <w:szCs w:val="21"/>
                <w:b w:val="1"/>
                <w:bCs w:val="1"/>
                <w:color w:val="auto"/>
              </w:rPr>
              <w:t>Lender</w:t>
            </w:r>
          </w:p>
        </w:tc>
        <w:tc>
          <w:tcPr>
            <w:tcW w:w="2600" w:type="dxa"/>
            <w:vAlign w:val="bottom"/>
            <w:tcBorders>
              <w:top w:val="single" w:sz="8" w:color="auto"/>
              <w:right w:val="single" w:sz="8" w:color="auto"/>
            </w:tcBorders>
            <w:shd w:val="clear" w:color="auto" w:fill="D9D9D9"/>
          </w:tcPr>
          <w:p>
            <w:pPr>
              <w:ind w:left="1120"/>
              <w:spacing w:after="0" w:line="212" w:lineRule="exact"/>
              <w:rPr>
                <w:sz w:val="20"/>
                <w:szCs w:val="20"/>
                <w:color w:val="auto"/>
              </w:rPr>
            </w:pPr>
            <w:r>
              <w:rPr>
                <w:rFonts w:ascii="Times New Roman" w:cs="Times New Roman" w:eastAsia="Times New Roman" w:hAnsi="Times New Roman"/>
                <w:sz w:val="21"/>
                <w:szCs w:val="21"/>
                <w:b w:val="1"/>
                <w:bCs w:val="1"/>
                <w:color w:val="auto"/>
              </w:rPr>
              <w:t>Applicable</w:t>
            </w:r>
          </w:p>
        </w:tc>
        <w:tc>
          <w:tcPr>
            <w:tcW w:w="2700" w:type="dxa"/>
            <w:vAlign w:val="bottom"/>
            <w:tcBorders>
              <w:top w:val="single" w:sz="8" w:color="auto"/>
              <w:right w:val="single" w:sz="8" w:color="auto"/>
            </w:tcBorders>
            <w:vMerge w:val="restart"/>
            <w:shd w:val="clear" w:color="auto" w:fill="D9D9D9"/>
          </w:tcPr>
          <w:p>
            <w:pPr>
              <w:jc w:val="center"/>
              <w:ind w:left="514"/>
              <w:spacing w:after="0"/>
              <w:rPr>
                <w:sz w:val="20"/>
                <w:szCs w:val="20"/>
                <w:color w:val="auto"/>
              </w:rPr>
            </w:pPr>
            <w:r>
              <w:rPr>
                <w:rFonts w:ascii="Times New Roman" w:cs="Times New Roman" w:eastAsia="Times New Roman" w:hAnsi="Times New Roman"/>
                <w:sz w:val="21"/>
                <w:szCs w:val="21"/>
                <w:b w:val="1"/>
                <w:bCs w:val="1"/>
                <w:color w:val="auto"/>
              </w:rPr>
              <w:t>Elected Commitment</w:t>
            </w:r>
          </w:p>
        </w:tc>
        <w:tc>
          <w:tcPr>
            <w:tcW w:w="3140" w:type="dxa"/>
            <w:vAlign w:val="bottom"/>
            <w:tcBorders>
              <w:top w:val="single" w:sz="8" w:color="auto"/>
              <w:right w:val="single" w:sz="8" w:color="auto"/>
            </w:tcBorders>
            <w:vMerge w:val="restart"/>
            <w:shd w:val="clear" w:color="auto" w:fill="D9D9D9"/>
          </w:tcPr>
          <w:p>
            <w:pPr>
              <w:ind w:left="680"/>
              <w:spacing w:after="0"/>
              <w:rPr>
                <w:sz w:val="20"/>
                <w:szCs w:val="20"/>
                <w:color w:val="auto"/>
              </w:rPr>
            </w:pPr>
            <w:r>
              <w:rPr>
                <w:rFonts w:ascii="Times New Roman" w:cs="Times New Roman" w:eastAsia="Times New Roman" w:hAnsi="Times New Roman"/>
                <w:sz w:val="21"/>
                <w:szCs w:val="21"/>
                <w:b w:val="1"/>
                <w:bCs w:val="1"/>
                <w:color w:val="auto"/>
              </w:rPr>
              <w:t>Maximum Credit Amount</w:t>
            </w:r>
          </w:p>
        </w:tc>
        <w:tc>
          <w:tcPr>
            <w:tcW w:w="0" w:type="dxa"/>
            <w:vAlign w:val="bottom"/>
          </w:tcPr>
          <w:p>
            <w:pPr>
              <w:spacing w:after="0"/>
              <w:rPr>
                <w:sz w:val="1"/>
                <w:szCs w:val="1"/>
                <w:color w:val="auto"/>
              </w:rPr>
            </w:pPr>
          </w:p>
        </w:tc>
      </w:tr>
      <w:tr>
        <w:trPr>
          <w:trHeight w:val="170"/>
        </w:trPr>
        <w:tc>
          <w:tcPr>
            <w:tcW w:w="2820" w:type="dxa"/>
            <w:vAlign w:val="bottom"/>
            <w:tcBorders>
              <w:left w:val="single" w:sz="8" w:color="auto"/>
              <w:right w:val="single" w:sz="8" w:color="auto"/>
            </w:tcBorders>
            <w:vMerge w:val="continue"/>
            <w:shd w:val="clear" w:color="auto" w:fill="D9D9D9"/>
          </w:tcPr>
          <w:p>
            <w:pPr>
              <w:spacing w:after="0"/>
              <w:rPr>
                <w:sz w:val="14"/>
                <w:szCs w:val="14"/>
                <w:color w:val="auto"/>
              </w:rPr>
            </w:pPr>
          </w:p>
        </w:tc>
        <w:tc>
          <w:tcPr>
            <w:tcW w:w="2600" w:type="dxa"/>
            <w:vAlign w:val="bottom"/>
            <w:tcBorders>
              <w:right w:val="single" w:sz="8" w:color="auto"/>
            </w:tcBorders>
            <w:vMerge w:val="restart"/>
            <w:shd w:val="clear" w:color="auto" w:fill="D9D9D9"/>
          </w:tcPr>
          <w:p>
            <w:pPr>
              <w:ind w:left="780"/>
              <w:spacing w:after="0"/>
              <w:rPr>
                <w:sz w:val="20"/>
                <w:szCs w:val="20"/>
                <w:color w:val="auto"/>
              </w:rPr>
            </w:pPr>
            <w:r>
              <w:rPr>
                <w:rFonts w:ascii="Times New Roman" w:cs="Times New Roman" w:eastAsia="Times New Roman" w:hAnsi="Times New Roman"/>
                <w:sz w:val="21"/>
                <w:szCs w:val="21"/>
                <w:b w:val="1"/>
                <w:bCs w:val="1"/>
                <w:color w:val="auto"/>
              </w:rPr>
              <w:t>Percentage</w:t>
            </w:r>
          </w:p>
        </w:tc>
        <w:tc>
          <w:tcPr>
            <w:tcW w:w="2700" w:type="dxa"/>
            <w:vAlign w:val="bottom"/>
            <w:tcBorders>
              <w:right w:val="single" w:sz="8" w:color="auto"/>
            </w:tcBorders>
            <w:vMerge w:val="continue"/>
            <w:shd w:val="clear" w:color="auto" w:fill="D9D9D9"/>
          </w:tcPr>
          <w:p>
            <w:pPr>
              <w:spacing w:after="0"/>
              <w:rPr>
                <w:sz w:val="14"/>
                <w:szCs w:val="14"/>
                <w:color w:val="auto"/>
              </w:rPr>
            </w:pPr>
          </w:p>
        </w:tc>
        <w:tc>
          <w:tcPr>
            <w:tcW w:w="3140" w:type="dxa"/>
            <w:vAlign w:val="bottom"/>
            <w:tcBorders>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260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2700" w:type="dxa"/>
            <w:vAlign w:val="bottom"/>
            <w:tcBorders>
              <w:bottom w:val="single" w:sz="8" w:color="auto"/>
              <w:right w:val="single" w:sz="8" w:color="auto"/>
            </w:tcBorders>
            <w:shd w:val="clear" w:color="auto" w:fill="D9D9D9"/>
          </w:tcPr>
          <w:p>
            <w:pPr>
              <w:spacing w:after="0"/>
              <w:rPr>
                <w:sz w:val="9"/>
                <w:szCs w:val="9"/>
                <w:color w:val="auto"/>
              </w:rPr>
            </w:pPr>
          </w:p>
        </w:tc>
        <w:tc>
          <w:tcPr>
            <w:tcW w:w="314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2820" w:type="dxa"/>
            <w:vAlign w:val="bottom"/>
            <w:tcBorders>
              <w:left w:val="single" w:sz="8" w:color="auto"/>
              <w:right w:val="single" w:sz="8" w:color="auto"/>
            </w:tcBorders>
            <w:vMerge w:val="restart"/>
          </w:tcPr>
          <w:p>
            <w:pPr>
              <w:ind w:left="720"/>
              <w:spacing w:after="0"/>
              <w:rPr>
                <w:sz w:val="20"/>
                <w:szCs w:val="20"/>
                <w:color w:val="auto"/>
              </w:rPr>
            </w:pPr>
            <w:r>
              <w:rPr>
                <w:rFonts w:ascii="Times New Roman" w:cs="Times New Roman" w:eastAsia="Times New Roman" w:hAnsi="Times New Roman"/>
                <w:sz w:val="21"/>
                <w:szCs w:val="21"/>
                <w:color w:val="auto"/>
              </w:rPr>
              <w:t>Bank of America, N.A.</w:t>
            </w:r>
          </w:p>
        </w:tc>
        <w:tc>
          <w:tcPr>
            <w:tcW w:w="2600" w:type="dxa"/>
            <w:vAlign w:val="bottom"/>
            <w:tcBorders>
              <w:right w:val="single" w:sz="8" w:color="auto"/>
            </w:tcBorders>
          </w:tcPr>
          <w:p>
            <w:pPr>
              <w:jc w:val="center"/>
              <w:ind w:left="494"/>
              <w:spacing w:after="0"/>
              <w:rPr>
                <w:sz w:val="20"/>
                <w:szCs w:val="20"/>
                <w:color w:val="auto"/>
              </w:rPr>
            </w:pPr>
            <w:r>
              <w:rPr>
                <w:rFonts w:ascii="Times New Roman" w:cs="Times New Roman" w:eastAsia="Times New Roman" w:hAnsi="Times New Roman"/>
                <w:sz w:val="21"/>
                <w:szCs w:val="21"/>
                <w:color w:val="auto"/>
              </w:rPr>
              <w:t>9.466666667%</w:t>
            </w:r>
          </w:p>
        </w:tc>
        <w:tc>
          <w:tcPr>
            <w:tcW w:w="2700" w:type="dxa"/>
            <w:vAlign w:val="bottom"/>
            <w:tcBorders>
              <w:right w:val="single" w:sz="8" w:color="auto"/>
            </w:tcBorders>
          </w:tcPr>
          <w:p>
            <w:pPr>
              <w:jc w:val="center"/>
              <w:ind w:left="514"/>
              <w:spacing w:after="0"/>
              <w:rPr>
                <w:sz w:val="20"/>
                <w:szCs w:val="20"/>
                <w:color w:val="auto"/>
              </w:rPr>
            </w:pPr>
            <w:r>
              <w:rPr>
                <w:rFonts w:ascii="Times New Roman" w:cs="Times New Roman" w:eastAsia="Times New Roman" w:hAnsi="Times New Roman"/>
                <w:sz w:val="21"/>
                <w:szCs w:val="21"/>
                <w:color w:val="auto"/>
              </w:rPr>
              <w:t>$35,500,000.00</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$94,666,666.67</w:t>
            </w:r>
          </w:p>
        </w:tc>
        <w:tc>
          <w:tcPr>
            <w:tcW w:w="0" w:type="dxa"/>
            <w:vAlign w:val="bottom"/>
          </w:tcPr>
          <w:p>
            <w:pPr>
              <w:spacing w:after="0"/>
              <w:rPr>
                <w:sz w:val="1"/>
                <w:szCs w:val="1"/>
                <w:color w:val="auto"/>
              </w:rPr>
            </w:pPr>
          </w:p>
        </w:tc>
      </w:tr>
      <w:tr>
        <w:trPr>
          <w:trHeight w:val="93"/>
        </w:trPr>
        <w:tc>
          <w:tcPr>
            <w:tcW w:w="282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tcPr>
          <w:p>
            <w:pPr>
              <w:spacing w:after="0"/>
              <w:rPr>
                <w:sz w:val="8"/>
                <w:szCs w:val="8"/>
                <w:color w:val="auto"/>
              </w:rPr>
            </w:pPr>
          </w:p>
        </w:tc>
        <w:tc>
          <w:tcPr>
            <w:tcW w:w="3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820" w:type="dxa"/>
            <w:vAlign w:val="bottom"/>
            <w:tcBorders>
              <w:left w:val="single" w:sz="8" w:color="auto"/>
              <w:right w:val="single" w:sz="8" w:color="auto"/>
            </w:tcBorders>
          </w:tcPr>
          <w:p>
            <w:pPr>
              <w:ind w:left="720"/>
              <w:spacing w:after="0" w:line="219" w:lineRule="exact"/>
              <w:rPr>
                <w:sz w:val="20"/>
                <w:szCs w:val="20"/>
                <w:color w:val="auto"/>
              </w:rPr>
            </w:pPr>
            <w:r>
              <w:rPr>
                <w:rFonts w:ascii="Times New Roman" w:cs="Times New Roman" w:eastAsia="Times New Roman" w:hAnsi="Times New Roman"/>
                <w:sz w:val="21"/>
                <w:szCs w:val="21"/>
                <w:color w:val="auto"/>
              </w:rPr>
              <w:t>Capital One, National</w:t>
            </w:r>
          </w:p>
        </w:tc>
        <w:tc>
          <w:tcPr>
            <w:tcW w:w="2600" w:type="dxa"/>
            <w:vAlign w:val="bottom"/>
            <w:tcBorders>
              <w:right w:val="single" w:sz="8" w:color="auto"/>
            </w:tcBorders>
          </w:tcPr>
          <w:p>
            <w:pPr>
              <w:jc w:val="center"/>
              <w:ind w:left="494"/>
              <w:spacing w:after="0" w:line="219" w:lineRule="exact"/>
              <w:rPr>
                <w:sz w:val="20"/>
                <w:szCs w:val="20"/>
                <w:color w:val="auto"/>
              </w:rPr>
            </w:pPr>
            <w:r>
              <w:rPr>
                <w:rFonts w:ascii="Times New Roman" w:cs="Times New Roman" w:eastAsia="Times New Roman" w:hAnsi="Times New Roman"/>
                <w:sz w:val="21"/>
                <w:szCs w:val="21"/>
                <w:color w:val="auto"/>
              </w:rPr>
              <w:t>8.933333333%</w:t>
            </w:r>
          </w:p>
        </w:tc>
        <w:tc>
          <w:tcPr>
            <w:tcW w:w="2700" w:type="dxa"/>
            <w:vAlign w:val="bottom"/>
            <w:tcBorders>
              <w:right w:val="single" w:sz="8" w:color="auto"/>
            </w:tcBorders>
          </w:tcPr>
          <w:p>
            <w:pPr>
              <w:jc w:val="center"/>
              <w:ind w:left="514"/>
              <w:spacing w:after="0" w:line="219" w:lineRule="exact"/>
              <w:rPr>
                <w:sz w:val="20"/>
                <w:szCs w:val="20"/>
                <w:color w:val="auto"/>
              </w:rPr>
            </w:pPr>
            <w:r>
              <w:rPr>
                <w:rFonts w:ascii="Times New Roman" w:cs="Times New Roman" w:eastAsia="Times New Roman" w:hAnsi="Times New Roman"/>
                <w:sz w:val="21"/>
                <w:szCs w:val="21"/>
                <w:color w:val="auto"/>
              </w:rPr>
              <w:t>$33,500,000.00</w:t>
            </w:r>
          </w:p>
        </w:tc>
        <w:tc>
          <w:tcPr>
            <w:tcW w:w="31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1"/>
                <w:szCs w:val="21"/>
                <w:color w:val="auto"/>
              </w:rPr>
              <w:t>$89,333,333.33</w:t>
            </w:r>
          </w:p>
        </w:tc>
        <w:tc>
          <w:tcPr>
            <w:tcW w:w="0" w:type="dxa"/>
            <w:vAlign w:val="bottom"/>
          </w:tcPr>
          <w:p>
            <w:pPr>
              <w:spacing w:after="0"/>
              <w:rPr>
                <w:sz w:val="1"/>
                <w:szCs w:val="1"/>
                <w:color w:val="auto"/>
              </w:rPr>
            </w:pPr>
          </w:p>
        </w:tc>
      </w:tr>
      <w:tr>
        <w:trPr>
          <w:trHeight w:val="285"/>
        </w:trPr>
        <w:tc>
          <w:tcPr>
            <w:tcW w:w="2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Association</w:t>
            </w:r>
          </w:p>
        </w:tc>
        <w:tc>
          <w:tcPr>
            <w:tcW w:w="26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820" w:type="dxa"/>
            <w:vAlign w:val="bottom"/>
            <w:tcBorders>
              <w:left w:val="single" w:sz="8" w:color="auto"/>
              <w:right w:val="single" w:sz="8" w:color="auto"/>
            </w:tcBorders>
            <w:vMerge w:val="restart"/>
          </w:tcPr>
          <w:p>
            <w:pPr>
              <w:ind w:left="720"/>
              <w:spacing w:after="0"/>
              <w:rPr>
                <w:sz w:val="20"/>
                <w:szCs w:val="20"/>
                <w:color w:val="auto"/>
              </w:rPr>
            </w:pPr>
            <w:r>
              <w:rPr>
                <w:rFonts w:ascii="Times New Roman" w:cs="Times New Roman" w:eastAsia="Times New Roman" w:hAnsi="Times New Roman"/>
                <w:sz w:val="21"/>
                <w:szCs w:val="21"/>
                <w:color w:val="auto"/>
              </w:rPr>
              <w:t>Citibank, N.A.</w:t>
            </w:r>
          </w:p>
        </w:tc>
        <w:tc>
          <w:tcPr>
            <w:tcW w:w="2600" w:type="dxa"/>
            <w:vAlign w:val="bottom"/>
            <w:tcBorders>
              <w:right w:val="single" w:sz="8" w:color="auto"/>
            </w:tcBorders>
          </w:tcPr>
          <w:p>
            <w:pPr>
              <w:jc w:val="center"/>
              <w:ind w:left="494"/>
              <w:spacing w:after="0"/>
              <w:rPr>
                <w:sz w:val="20"/>
                <w:szCs w:val="20"/>
                <w:color w:val="auto"/>
              </w:rPr>
            </w:pPr>
            <w:r>
              <w:rPr>
                <w:rFonts w:ascii="Times New Roman" w:cs="Times New Roman" w:eastAsia="Times New Roman" w:hAnsi="Times New Roman"/>
                <w:sz w:val="21"/>
                <w:szCs w:val="21"/>
                <w:color w:val="auto"/>
              </w:rPr>
              <w:t>8.933333333%</w:t>
            </w:r>
          </w:p>
        </w:tc>
        <w:tc>
          <w:tcPr>
            <w:tcW w:w="2700" w:type="dxa"/>
            <w:vAlign w:val="bottom"/>
            <w:tcBorders>
              <w:right w:val="single" w:sz="8" w:color="auto"/>
            </w:tcBorders>
          </w:tcPr>
          <w:p>
            <w:pPr>
              <w:jc w:val="center"/>
              <w:ind w:left="514"/>
              <w:spacing w:after="0"/>
              <w:rPr>
                <w:sz w:val="20"/>
                <w:szCs w:val="20"/>
                <w:color w:val="auto"/>
              </w:rPr>
            </w:pPr>
            <w:r>
              <w:rPr>
                <w:rFonts w:ascii="Times New Roman" w:cs="Times New Roman" w:eastAsia="Times New Roman" w:hAnsi="Times New Roman"/>
                <w:sz w:val="21"/>
                <w:szCs w:val="21"/>
                <w:color w:val="auto"/>
              </w:rPr>
              <w:t>$33,500,000.00</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$89,333,333.33</w:t>
            </w:r>
          </w:p>
        </w:tc>
        <w:tc>
          <w:tcPr>
            <w:tcW w:w="0" w:type="dxa"/>
            <w:vAlign w:val="bottom"/>
          </w:tcPr>
          <w:p>
            <w:pPr>
              <w:spacing w:after="0"/>
              <w:rPr>
                <w:sz w:val="1"/>
                <w:szCs w:val="1"/>
                <w:color w:val="auto"/>
              </w:rPr>
            </w:pPr>
          </w:p>
        </w:tc>
      </w:tr>
      <w:tr>
        <w:trPr>
          <w:trHeight w:val="93"/>
        </w:trPr>
        <w:tc>
          <w:tcPr>
            <w:tcW w:w="282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tcPr>
          <w:p>
            <w:pPr>
              <w:spacing w:after="0"/>
              <w:rPr>
                <w:sz w:val="8"/>
                <w:szCs w:val="8"/>
                <w:color w:val="auto"/>
              </w:rPr>
            </w:pPr>
          </w:p>
        </w:tc>
        <w:tc>
          <w:tcPr>
            <w:tcW w:w="3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820" w:type="dxa"/>
            <w:vAlign w:val="bottom"/>
            <w:tcBorders>
              <w:left w:val="single" w:sz="8" w:color="auto"/>
              <w:right w:val="single" w:sz="8" w:color="auto"/>
            </w:tcBorders>
            <w:vMerge w:val="restart"/>
          </w:tcPr>
          <w:p>
            <w:pPr>
              <w:ind w:left="720"/>
              <w:spacing w:after="0"/>
              <w:rPr>
                <w:sz w:val="20"/>
                <w:szCs w:val="20"/>
                <w:color w:val="auto"/>
              </w:rPr>
            </w:pPr>
            <w:r>
              <w:rPr>
                <w:rFonts w:ascii="Times New Roman" w:cs="Times New Roman" w:eastAsia="Times New Roman" w:hAnsi="Times New Roman"/>
                <w:sz w:val="21"/>
                <w:szCs w:val="21"/>
                <w:color w:val="auto"/>
              </w:rPr>
              <w:t>Citizens Bank, N.A.</w:t>
            </w:r>
          </w:p>
        </w:tc>
        <w:tc>
          <w:tcPr>
            <w:tcW w:w="2600" w:type="dxa"/>
            <w:vAlign w:val="bottom"/>
            <w:tcBorders>
              <w:right w:val="single" w:sz="8" w:color="auto"/>
            </w:tcBorders>
          </w:tcPr>
          <w:p>
            <w:pPr>
              <w:jc w:val="center"/>
              <w:ind w:left="494"/>
              <w:spacing w:after="0"/>
              <w:rPr>
                <w:sz w:val="20"/>
                <w:szCs w:val="20"/>
                <w:color w:val="auto"/>
              </w:rPr>
            </w:pPr>
            <w:r>
              <w:rPr>
                <w:rFonts w:ascii="Times New Roman" w:cs="Times New Roman" w:eastAsia="Times New Roman" w:hAnsi="Times New Roman"/>
                <w:sz w:val="21"/>
                <w:szCs w:val="21"/>
                <w:color w:val="auto"/>
              </w:rPr>
              <w:t>8.933333333%</w:t>
            </w:r>
          </w:p>
        </w:tc>
        <w:tc>
          <w:tcPr>
            <w:tcW w:w="2700" w:type="dxa"/>
            <w:vAlign w:val="bottom"/>
            <w:tcBorders>
              <w:right w:val="single" w:sz="8" w:color="auto"/>
            </w:tcBorders>
          </w:tcPr>
          <w:p>
            <w:pPr>
              <w:jc w:val="center"/>
              <w:ind w:left="514"/>
              <w:spacing w:after="0"/>
              <w:rPr>
                <w:sz w:val="20"/>
                <w:szCs w:val="20"/>
                <w:color w:val="auto"/>
              </w:rPr>
            </w:pPr>
            <w:r>
              <w:rPr>
                <w:rFonts w:ascii="Times New Roman" w:cs="Times New Roman" w:eastAsia="Times New Roman" w:hAnsi="Times New Roman"/>
                <w:sz w:val="21"/>
                <w:szCs w:val="21"/>
                <w:color w:val="auto"/>
              </w:rPr>
              <w:t>$33,500,000.00</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$89,333,333.33</w:t>
            </w:r>
          </w:p>
        </w:tc>
        <w:tc>
          <w:tcPr>
            <w:tcW w:w="0" w:type="dxa"/>
            <w:vAlign w:val="bottom"/>
          </w:tcPr>
          <w:p>
            <w:pPr>
              <w:spacing w:after="0"/>
              <w:rPr>
                <w:sz w:val="1"/>
                <w:szCs w:val="1"/>
                <w:color w:val="auto"/>
              </w:rPr>
            </w:pPr>
          </w:p>
        </w:tc>
      </w:tr>
      <w:tr>
        <w:trPr>
          <w:trHeight w:val="93"/>
        </w:trPr>
        <w:tc>
          <w:tcPr>
            <w:tcW w:w="282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tcPr>
          <w:p>
            <w:pPr>
              <w:spacing w:after="0"/>
              <w:rPr>
                <w:sz w:val="8"/>
                <w:szCs w:val="8"/>
                <w:color w:val="auto"/>
              </w:rPr>
            </w:pPr>
          </w:p>
        </w:tc>
        <w:tc>
          <w:tcPr>
            <w:tcW w:w="3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820" w:type="dxa"/>
            <w:vAlign w:val="bottom"/>
            <w:tcBorders>
              <w:left w:val="single" w:sz="8" w:color="auto"/>
              <w:right w:val="single" w:sz="8" w:color="auto"/>
            </w:tcBorders>
          </w:tcPr>
          <w:p>
            <w:pPr>
              <w:ind w:left="720"/>
              <w:spacing w:after="0" w:line="219" w:lineRule="exact"/>
              <w:rPr>
                <w:sz w:val="20"/>
                <w:szCs w:val="20"/>
                <w:color w:val="auto"/>
              </w:rPr>
            </w:pPr>
            <w:r>
              <w:rPr>
                <w:rFonts w:ascii="Times New Roman" w:cs="Times New Roman" w:eastAsia="Times New Roman" w:hAnsi="Times New Roman"/>
                <w:sz w:val="21"/>
                <w:szCs w:val="21"/>
                <w:color w:val="auto"/>
              </w:rPr>
              <w:t>Fifth Third Bank,</w:t>
            </w:r>
          </w:p>
        </w:tc>
        <w:tc>
          <w:tcPr>
            <w:tcW w:w="2600" w:type="dxa"/>
            <w:vAlign w:val="bottom"/>
            <w:tcBorders>
              <w:right w:val="single" w:sz="8" w:color="auto"/>
            </w:tcBorders>
          </w:tcPr>
          <w:p>
            <w:pPr>
              <w:jc w:val="center"/>
              <w:ind w:left="494"/>
              <w:spacing w:after="0" w:line="219" w:lineRule="exact"/>
              <w:rPr>
                <w:sz w:val="20"/>
                <w:szCs w:val="20"/>
                <w:color w:val="auto"/>
              </w:rPr>
            </w:pPr>
            <w:r>
              <w:rPr>
                <w:rFonts w:ascii="Times New Roman" w:cs="Times New Roman" w:eastAsia="Times New Roman" w:hAnsi="Times New Roman"/>
                <w:sz w:val="21"/>
                <w:szCs w:val="21"/>
                <w:color w:val="auto"/>
              </w:rPr>
              <w:t>8.933333333%</w:t>
            </w:r>
          </w:p>
        </w:tc>
        <w:tc>
          <w:tcPr>
            <w:tcW w:w="2700" w:type="dxa"/>
            <w:vAlign w:val="bottom"/>
            <w:tcBorders>
              <w:right w:val="single" w:sz="8" w:color="auto"/>
            </w:tcBorders>
          </w:tcPr>
          <w:p>
            <w:pPr>
              <w:jc w:val="center"/>
              <w:ind w:left="514"/>
              <w:spacing w:after="0" w:line="219" w:lineRule="exact"/>
              <w:rPr>
                <w:sz w:val="20"/>
                <w:szCs w:val="20"/>
                <w:color w:val="auto"/>
              </w:rPr>
            </w:pPr>
            <w:r>
              <w:rPr>
                <w:rFonts w:ascii="Times New Roman" w:cs="Times New Roman" w:eastAsia="Times New Roman" w:hAnsi="Times New Roman"/>
                <w:sz w:val="21"/>
                <w:szCs w:val="21"/>
                <w:color w:val="auto"/>
              </w:rPr>
              <w:t>$33,500,000.00</w:t>
            </w:r>
          </w:p>
        </w:tc>
        <w:tc>
          <w:tcPr>
            <w:tcW w:w="3140" w:type="dxa"/>
            <w:vAlign w:val="bottom"/>
            <w:tcBorders>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1"/>
                <w:szCs w:val="21"/>
                <w:color w:val="auto"/>
              </w:rPr>
              <w:t>$89,333,333.33</w:t>
            </w:r>
          </w:p>
        </w:tc>
        <w:tc>
          <w:tcPr>
            <w:tcW w:w="0" w:type="dxa"/>
            <w:vAlign w:val="bottom"/>
          </w:tcPr>
          <w:p>
            <w:pPr>
              <w:spacing w:after="0"/>
              <w:rPr>
                <w:sz w:val="1"/>
                <w:szCs w:val="1"/>
                <w:color w:val="auto"/>
              </w:rPr>
            </w:pPr>
          </w:p>
        </w:tc>
      </w:tr>
      <w:tr>
        <w:trPr>
          <w:trHeight w:val="285"/>
        </w:trPr>
        <w:tc>
          <w:tcPr>
            <w:tcW w:w="2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National Association</w:t>
            </w:r>
          </w:p>
        </w:tc>
        <w:tc>
          <w:tcPr>
            <w:tcW w:w="26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20" w:type="dxa"/>
            <w:vAlign w:val="bottom"/>
            <w:tcBorders>
              <w:left w:val="single" w:sz="8" w:color="auto"/>
              <w:right w:val="single" w:sz="8" w:color="auto"/>
            </w:tcBorders>
          </w:tcPr>
          <w:p>
            <w:pPr>
              <w:ind w:left="720"/>
              <w:spacing w:after="0" w:line="225" w:lineRule="exact"/>
              <w:rPr>
                <w:sz w:val="20"/>
                <w:szCs w:val="20"/>
                <w:color w:val="auto"/>
              </w:rPr>
            </w:pPr>
            <w:r>
              <w:rPr>
                <w:rFonts w:ascii="Times New Roman" w:cs="Times New Roman" w:eastAsia="Times New Roman" w:hAnsi="Times New Roman"/>
                <w:sz w:val="21"/>
                <w:szCs w:val="21"/>
                <w:color w:val="auto"/>
              </w:rPr>
              <w:t>First-Citizens Bank &amp;</w:t>
            </w:r>
          </w:p>
        </w:tc>
        <w:tc>
          <w:tcPr>
            <w:tcW w:w="2600" w:type="dxa"/>
            <w:vAlign w:val="bottom"/>
            <w:tcBorders>
              <w:right w:val="single" w:sz="8" w:color="auto"/>
            </w:tcBorders>
          </w:tcPr>
          <w:p>
            <w:pPr>
              <w:jc w:val="center"/>
              <w:ind w:left="494"/>
              <w:spacing w:after="0" w:line="225" w:lineRule="exact"/>
              <w:rPr>
                <w:sz w:val="20"/>
                <w:szCs w:val="20"/>
                <w:color w:val="auto"/>
              </w:rPr>
            </w:pPr>
            <w:r>
              <w:rPr>
                <w:rFonts w:ascii="Times New Roman" w:cs="Times New Roman" w:eastAsia="Times New Roman" w:hAnsi="Times New Roman"/>
                <w:sz w:val="21"/>
                <w:szCs w:val="21"/>
                <w:color w:val="auto"/>
              </w:rPr>
              <w:t>8.933333333%</w:t>
            </w:r>
          </w:p>
        </w:tc>
        <w:tc>
          <w:tcPr>
            <w:tcW w:w="2700" w:type="dxa"/>
            <w:vAlign w:val="bottom"/>
            <w:tcBorders>
              <w:right w:val="single" w:sz="8" w:color="auto"/>
            </w:tcBorders>
          </w:tcPr>
          <w:p>
            <w:pPr>
              <w:jc w:val="center"/>
              <w:ind w:left="514"/>
              <w:spacing w:after="0" w:line="225" w:lineRule="exact"/>
              <w:rPr>
                <w:sz w:val="20"/>
                <w:szCs w:val="20"/>
                <w:color w:val="auto"/>
              </w:rPr>
            </w:pPr>
            <w:r>
              <w:rPr>
                <w:rFonts w:ascii="Times New Roman" w:cs="Times New Roman" w:eastAsia="Times New Roman" w:hAnsi="Times New Roman"/>
                <w:sz w:val="21"/>
                <w:szCs w:val="21"/>
                <w:color w:val="auto"/>
              </w:rPr>
              <w:t>$33,500,000.00</w:t>
            </w:r>
          </w:p>
        </w:tc>
        <w:tc>
          <w:tcPr>
            <w:tcW w:w="3140" w:type="dxa"/>
            <w:vAlign w:val="bottom"/>
            <w:tcBorders>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1"/>
                <w:szCs w:val="21"/>
                <w:color w:val="auto"/>
              </w:rPr>
              <w:t>$89,333,333.33</w:t>
            </w:r>
          </w:p>
        </w:tc>
        <w:tc>
          <w:tcPr>
            <w:tcW w:w="0" w:type="dxa"/>
            <w:vAlign w:val="bottom"/>
          </w:tcPr>
          <w:p>
            <w:pPr>
              <w:spacing w:after="0"/>
              <w:rPr>
                <w:sz w:val="1"/>
                <w:szCs w:val="1"/>
                <w:color w:val="auto"/>
              </w:rPr>
            </w:pPr>
          </w:p>
        </w:tc>
      </w:tr>
      <w:tr>
        <w:trPr>
          <w:trHeight w:val="285"/>
        </w:trPr>
        <w:tc>
          <w:tcPr>
            <w:tcW w:w="2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Trust Company</w:t>
            </w:r>
          </w:p>
        </w:tc>
        <w:tc>
          <w:tcPr>
            <w:tcW w:w="26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20" w:type="dxa"/>
            <w:vAlign w:val="bottom"/>
            <w:tcBorders>
              <w:left w:val="single" w:sz="8" w:color="auto"/>
              <w:right w:val="single" w:sz="8" w:color="auto"/>
            </w:tcBorders>
          </w:tcPr>
          <w:p>
            <w:pPr>
              <w:ind w:left="720"/>
              <w:spacing w:after="0" w:line="225" w:lineRule="exact"/>
              <w:rPr>
                <w:sz w:val="20"/>
                <w:szCs w:val="20"/>
                <w:color w:val="auto"/>
              </w:rPr>
            </w:pPr>
            <w:r>
              <w:rPr>
                <w:rFonts w:ascii="Times New Roman" w:cs="Times New Roman" w:eastAsia="Times New Roman" w:hAnsi="Times New Roman"/>
                <w:sz w:val="21"/>
                <w:szCs w:val="21"/>
                <w:color w:val="auto"/>
              </w:rPr>
              <w:t>KeyBank National</w:t>
            </w:r>
          </w:p>
        </w:tc>
        <w:tc>
          <w:tcPr>
            <w:tcW w:w="2600" w:type="dxa"/>
            <w:vAlign w:val="bottom"/>
            <w:tcBorders>
              <w:right w:val="single" w:sz="8" w:color="auto"/>
            </w:tcBorders>
          </w:tcPr>
          <w:p>
            <w:pPr>
              <w:jc w:val="center"/>
              <w:ind w:left="494"/>
              <w:spacing w:after="0" w:line="225" w:lineRule="exact"/>
              <w:rPr>
                <w:sz w:val="20"/>
                <w:szCs w:val="20"/>
                <w:color w:val="auto"/>
              </w:rPr>
            </w:pPr>
            <w:r>
              <w:rPr>
                <w:rFonts w:ascii="Times New Roman" w:cs="Times New Roman" w:eastAsia="Times New Roman" w:hAnsi="Times New Roman"/>
                <w:sz w:val="21"/>
                <w:szCs w:val="21"/>
                <w:color w:val="auto"/>
              </w:rPr>
              <w:t>8.933333333%</w:t>
            </w:r>
          </w:p>
        </w:tc>
        <w:tc>
          <w:tcPr>
            <w:tcW w:w="2700" w:type="dxa"/>
            <w:vAlign w:val="bottom"/>
            <w:tcBorders>
              <w:right w:val="single" w:sz="8" w:color="auto"/>
            </w:tcBorders>
          </w:tcPr>
          <w:p>
            <w:pPr>
              <w:jc w:val="center"/>
              <w:ind w:left="514"/>
              <w:spacing w:after="0" w:line="225" w:lineRule="exact"/>
              <w:rPr>
                <w:sz w:val="20"/>
                <w:szCs w:val="20"/>
                <w:color w:val="auto"/>
              </w:rPr>
            </w:pPr>
            <w:r>
              <w:rPr>
                <w:rFonts w:ascii="Times New Roman" w:cs="Times New Roman" w:eastAsia="Times New Roman" w:hAnsi="Times New Roman"/>
                <w:sz w:val="21"/>
                <w:szCs w:val="21"/>
                <w:color w:val="auto"/>
              </w:rPr>
              <w:t>$33,500,000.00</w:t>
            </w:r>
          </w:p>
        </w:tc>
        <w:tc>
          <w:tcPr>
            <w:tcW w:w="3140" w:type="dxa"/>
            <w:vAlign w:val="bottom"/>
            <w:tcBorders>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1"/>
                <w:szCs w:val="21"/>
                <w:color w:val="auto"/>
              </w:rPr>
              <w:t>$89,333,333.33</w:t>
            </w:r>
          </w:p>
        </w:tc>
        <w:tc>
          <w:tcPr>
            <w:tcW w:w="0" w:type="dxa"/>
            <w:vAlign w:val="bottom"/>
          </w:tcPr>
          <w:p>
            <w:pPr>
              <w:spacing w:after="0"/>
              <w:rPr>
                <w:sz w:val="1"/>
                <w:szCs w:val="1"/>
                <w:color w:val="auto"/>
              </w:rPr>
            </w:pPr>
          </w:p>
        </w:tc>
      </w:tr>
      <w:tr>
        <w:trPr>
          <w:trHeight w:val="285"/>
        </w:trPr>
        <w:tc>
          <w:tcPr>
            <w:tcW w:w="2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Association</w:t>
            </w:r>
          </w:p>
        </w:tc>
        <w:tc>
          <w:tcPr>
            <w:tcW w:w="26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20" w:type="dxa"/>
            <w:vAlign w:val="bottom"/>
            <w:tcBorders>
              <w:left w:val="single" w:sz="8" w:color="auto"/>
              <w:right w:val="single" w:sz="8" w:color="auto"/>
            </w:tcBorders>
          </w:tcPr>
          <w:p>
            <w:pPr>
              <w:ind w:left="720"/>
              <w:spacing w:after="0" w:line="225" w:lineRule="exact"/>
              <w:rPr>
                <w:sz w:val="20"/>
                <w:szCs w:val="20"/>
                <w:color w:val="auto"/>
              </w:rPr>
            </w:pPr>
            <w:r>
              <w:rPr>
                <w:rFonts w:ascii="Times New Roman" w:cs="Times New Roman" w:eastAsia="Times New Roman" w:hAnsi="Times New Roman"/>
                <w:sz w:val="21"/>
                <w:szCs w:val="21"/>
                <w:color w:val="auto"/>
              </w:rPr>
              <w:t>U.S. Bank National</w:t>
            </w:r>
          </w:p>
        </w:tc>
        <w:tc>
          <w:tcPr>
            <w:tcW w:w="2600" w:type="dxa"/>
            <w:vAlign w:val="bottom"/>
            <w:tcBorders>
              <w:right w:val="single" w:sz="8" w:color="auto"/>
            </w:tcBorders>
          </w:tcPr>
          <w:p>
            <w:pPr>
              <w:jc w:val="center"/>
              <w:ind w:left="494"/>
              <w:spacing w:after="0" w:line="225" w:lineRule="exact"/>
              <w:rPr>
                <w:sz w:val="20"/>
                <w:szCs w:val="20"/>
                <w:color w:val="auto"/>
              </w:rPr>
            </w:pPr>
            <w:r>
              <w:rPr>
                <w:rFonts w:ascii="Times New Roman" w:cs="Times New Roman" w:eastAsia="Times New Roman" w:hAnsi="Times New Roman"/>
                <w:sz w:val="21"/>
                <w:szCs w:val="21"/>
                <w:color w:val="auto"/>
              </w:rPr>
              <w:t>8.933333333%</w:t>
            </w:r>
          </w:p>
        </w:tc>
        <w:tc>
          <w:tcPr>
            <w:tcW w:w="2700" w:type="dxa"/>
            <w:vAlign w:val="bottom"/>
            <w:tcBorders>
              <w:right w:val="single" w:sz="8" w:color="auto"/>
            </w:tcBorders>
          </w:tcPr>
          <w:p>
            <w:pPr>
              <w:jc w:val="center"/>
              <w:ind w:left="514"/>
              <w:spacing w:after="0" w:line="225" w:lineRule="exact"/>
              <w:rPr>
                <w:sz w:val="20"/>
                <w:szCs w:val="20"/>
                <w:color w:val="auto"/>
              </w:rPr>
            </w:pPr>
            <w:r>
              <w:rPr>
                <w:rFonts w:ascii="Times New Roman" w:cs="Times New Roman" w:eastAsia="Times New Roman" w:hAnsi="Times New Roman"/>
                <w:sz w:val="21"/>
                <w:szCs w:val="21"/>
                <w:color w:val="auto"/>
              </w:rPr>
              <w:t>$33,500,000.00</w:t>
            </w:r>
          </w:p>
        </w:tc>
        <w:tc>
          <w:tcPr>
            <w:tcW w:w="3140" w:type="dxa"/>
            <w:vAlign w:val="bottom"/>
            <w:tcBorders>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1"/>
                <w:szCs w:val="21"/>
                <w:color w:val="auto"/>
              </w:rPr>
              <w:t>$89,333,333.33</w:t>
            </w:r>
          </w:p>
        </w:tc>
        <w:tc>
          <w:tcPr>
            <w:tcW w:w="0" w:type="dxa"/>
            <w:vAlign w:val="bottom"/>
          </w:tcPr>
          <w:p>
            <w:pPr>
              <w:spacing w:after="0"/>
              <w:rPr>
                <w:sz w:val="1"/>
                <w:szCs w:val="1"/>
                <w:color w:val="auto"/>
              </w:rPr>
            </w:pPr>
          </w:p>
        </w:tc>
      </w:tr>
      <w:tr>
        <w:trPr>
          <w:trHeight w:val="285"/>
        </w:trPr>
        <w:tc>
          <w:tcPr>
            <w:tcW w:w="2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Association</w:t>
            </w:r>
          </w:p>
        </w:tc>
        <w:tc>
          <w:tcPr>
            <w:tcW w:w="26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20" w:type="dxa"/>
            <w:vAlign w:val="bottom"/>
            <w:tcBorders>
              <w:left w:val="single" w:sz="8" w:color="auto"/>
              <w:right w:val="single" w:sz="8" w:color="auto"/>
            </w:tcBorders>
          </w:tcPr>
          <w:p>
            <w:pPr>
              <w:ind w:left="720"/>
              <w:spacing w:after="0" w:line="225" w:lineRule="exact"/>
              <w:rPr>
                <w:sz w:val="20"/>
                <w:szCs w:val="20"/>
                <w:color w:val="auto"/>
              </w:rPr>
            </w:pPr>
            <w:r>
              <w:rPr>
                <w:rFonts w:ascii="Times New Roman" w:cs="Times New Roman" w:eastAsia="Times New Roman" w:hAnsi="Times New Roman"/>
                <w:sz w:val="21"/>
                <w:szCs w:val="21"/>
                <w:color w:val="auto"/>
              </w:rPr>
              <w:t>Zions Bancorporation,</w:t>
            </w:r>
          </w:p>
        </w:tc>
        <w:tc>
          <w:tcPr>
            <w:tcW w:w="2600" w:type="dxa"/>
            <w:vAlign w:val="bottom"/>
            <w:tcBorders>
              <w:right w:val="single" w:sz="8" w:color="auto"/>
            </w:tcBorders>
          </w:tcPr>
          <w:p>
            <w:pPr>
              <w:jc w:val="center"/>
              <w:ind w:left="494"/>
              <w:spacing w:after="0" w:line="225" w:lineRule="exact"/>
              <w:rPr>
                <w:sz w:val="20"/>
                <w:szCs w:val="20"/>
                <w:color w:val="auto"/>
              </w:rPr>
            </w:pPr>
            <w:r>
              <w:rPr>
                <w:rFonts w:ascii="Times New Roman" w:cs="Times New Roman" w:eastAsia="Times New Roman" w:hAnsi="Times New Roman"/>
                <w:sz w:val="21"/>
                <w:szCs w:val="21"/>
                <w:color w:val="auto"/>
              </w:rPr>
              <w:t>4.666666667%</w:t>
            </w:r>
          </w:p>
        </w:tc>
        <w:tc>
          <w:tcPr>
            <w:tcW w:w="2700" w:type="dxa"/>
            <w:vAlign w:val="bottom"/>
            <w:tcBorders>
              <w:right w:val="single" w:sz="8" w:color="auto"/>
            </w:tcBorders>
          </w:tcPr>
          <w:p>
            <w:pPr>
              <w:jc w:val="center"/>
              <w:ind w:left="514"/>
              <w:spacing w:after="0" w:line="225" w:lineRule="exact"/>
              <w:rPr>
                <w:sz w:val="20"/>
                <w:szCs w:val="20"/>
                <w:color w:val="auto"/>
              </w:rPr>
            </w:pPr>
            <w:r>
              <w:rPr>
                <w:rFonts w:ascii="Times New Roman" w:cs="Times New Roman" w:eastAsia="Times New Roman" w:hAnsi="Times New Roman"/>
                <w:sz w:val="21"/>
                <w:szCs w:val="21"/>
                <w:color w:val="auto"/>
              </w:rPr>
              <w:t>$17,500,000.00</w:t>
            </w:r>
          </w:p>
        </w:tc>
        <w:tc>
          <w:tcPr>
            <w:tcW w:w="3140" w:type="dxa"/>
            <w:vAlign w:val="bottom"/>
            <w:tcBorders>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1"/>
                <w:szCs w:val="21"/>
                <w:color w:val="auto"/>
              </w:rPr>
              <w:t>$46,666,666.67</w:t>
            </w:r>
          </w:p>
        </w:tc>
        <w:tc>
          <w:tcPr>
            <w:tcW w:w="0" w:type="dxa"/>
            <w:vAlign w:val="bottom"/>
          </w:tcPr>
          <w:p>
            <w:pPr>
              <w:spacing w:after="0"/>
              <w:rPr>
                <w:sz w:val="1"/>
                <w:szCs w:val="1"/>
                <w:color w:val="auto"/>
              </w:rPr>
            </w:pPr>
          </w:p>
        </w:tc>
      </w:tr>
      <w:tr>
        <w:trPr>
          <w:trHeight w:val="285"/>
        </w:trPr>
        <w:tc>
          <w:tcPr>
            <w:tcW w:w="2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N.A. dba Amegy Bank</w:t>
            </w:r>
          </w:p>
        </w:tc>
        <w:tc>
          <w:tcPr>
            <w:tcW w:w="260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820" w:type="dxa"/>
            <w:vAlign w:val="bottom"/>
            <w:tcBorders>
              <w:left w:val="single" w:sz="8" w:color="auto"/>
              <w:right w:val="single" w:sz="8" w:color="auto"/>
            </w:tcBorders>
            <w:vMerge w:val="restart"/>
          </w:tcPr>
          <w:p>
            <w:pPr>
              <w:ind w:left="720"/>
              <w:spacing w:after="0"/>
              <w:rPr>
                <w:sz w:val="20"/>
                <w:szCs w:val="20"/>
                <w:color w:val="auto"/>
              </w:rPr>
            </w:pPr>
            <w:r>
              <w:rPr>
                <w:rFonts w:ascii="Times New Roman" w:cs="Times New Roman" w:eastAsia="Times New Roman" w:hAnsi="Times New Roman"/>
                <w:sz w:val="21"/>
                <w:szCs w:val="21"/>
                <w:color w:val="auto"/>
              </w:rPr>
              <w:t>Comerica Bank</w:t>
            </w:r>
          </w:p>
        </w:tc>
        <w:tc>
          <w:tcPr>
            <w:tcW w:w="2600" w:type="dxa"/>
            <w:vAlign w:val="bottom"/>
            <w:tcBorders>
              <w:right w:val="single" w:sz="8" w:color="auto"/>
            </w:tcBorders>
          </w:tcPr>
          <w:p>
            <w:pPr>
              <w:jc w:val="center"/>
              <w:ind w:left="494"/>
              <w:spacing w:after="0"/>
              <w:rPr>
                <w:sz w:val="20"/>
                <w:szCs w:val="20"/>
                <w:color w:val="auto"/>
              </w:rPr>
            </w:pPr>
            <w:r>
              <w:rPr>
                <w:rFonts w:ascii="Times New Roman" w:cs="Times New Roman" w:eastAsia="Times New Roman" w:hAnsi="Times New Roman"/>
                <w:sz w:val="21"/>
                <w:szCs w:val="21"/>
                <w:color w:val="auto"/>
              </w:rPr>
              <w:t>4.666666667%</w:t>
            </w:r>
          </w:p>
        </w:tc>
        <w:tc>
          <w:tcPr>
            <w:tcW w:w="2700" w:type="dxa"/>
            <w:vAlign w:val="bottom"/>
            <w:tcBorders>
              <w:right w:val="single" w:sz="8" w:color="auto"/>
            </w:tcBorders>
          </w:tcPr>
          <w:p>
            <w:pPr>
              <w:jc w:val="center"/>
              <w:ind w:left="514"/>
              <w:spacing w:after="0"/>
              <w:rPr>
                <w:sz w:val="20"/>
                <w:szCs w:val="20"/>
                <w:color w:val="auto"/>
              </w:rPr>
            </w:pPr>
            <w:r>
              <w:rPr>
                <w:rFonts w:ascii="Times New Roman" w:cs="Times New Roman" w:eastAsia="Times New Roman" w:hAnsi="Times New Roman"/>
                <w:sz w:val="21"/>
                <w:szCs w:val="21"/>
                <w:color w:val="auto"/>
              </w:rPr>
              <w:t>$17,500,000.00</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$46,666,666.67</w:t>
            </w:r>
          </w:p>
        </w:tc>
        <w:tc>
          <w:tcPr>
            <w:tcW w:w="0" w:type="dxa"/>
            <w:vAlign w:val="bottom"/>
          </w:tcPr>
          <w:p>
            <w:pPr>
              <w:spacing w:after="0"/>
              <w:rPr>
                <w:sz w:val="1"/>
                <w:szCs w:val="1"/>
                <w:color w:val="auto"/>
              </w:rPr>
            </w:pPr>
          </w:p>
        </w:tc>
      </w:tr>
      <w:tr>
        <w:trPr>
          <w:trHeight w:val="93"/>
        </w:trPr>
        <w:tc>
          <w:tcPr>
            <w:tcW w:w="282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tcPr>
          <w:p>
            <w:pPr>
              <w:spacing w:after="0"/>
              <w:rPr>
                <w:sz w:val="8"/>
                <w:szCs w:val="8"/>
                <w:color w:val="auto"/>
              </w:rPr>
            </w:pPr>
          </w:p>
        </w:tc>
        <w:tc>
          <w:tcPr>
            <w:tcW w:w="3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820" w:type="dxa"/>
            <w:vAlign w:val="bottom"/>
            <w:tcBorders>
              <w:left w:val="single" w:sz="8" w:color="auto"/>
              <w:right w:val="single" w:sz="8" w:color="auto"/>
            </w:tcBorders>
            <w:vMerge w:val="restart"/>
          </w:tcPr>
          <w:p>
            <w:pPr>
              <w:ind w:left="720"/>
              <w:spacing w:after="0"/>
              <w:rPr>
                <w:sz w:val="20"/>
                <w:szCs w:val="20"/>
                <w:color w:val="auto"/>
              </w:rPr>
            </w:pPr>
            <w:r>
              <w:rPr>
                <w:rFonts w:ascii="Times New Roman" w:cs="Times New Roman" w:eastAsia="Times New Roman" w:hAnsi="Times New Roman"/>
                <w:sz w:val="21"/>
                <w:szCs w:val="21"/>
                <w:color w:val="auto"/>
              </w:rPr>
              <w:t>CrossFirst Bank</w:t>
            </w:r>
          </w:p>
        </w:tc>
        <w:tc>
          <w:tcPr>
            <w:tcW w:w="2600" w:type="dxa"/>
            <w:vAlign w:val="bottom"/>
            <w:tcBorders>
              <w:right w:val="single" w:sz="8" w:color="auto"/>
            </w:tcBorders>
          </w:tcPr>
          <w:p>
            <w:pPr>
              <w:jc w:val="center"/>
              <w:ind w:left="494"/>
              <w:spacing w:after="0"/>
              <w:rPr>
                <w:sz w:val="20"/>
                <w:szCs w:val="20"/>
                <w:color w:val="auto"/>
              </w:rPr>
            </w:pPr>
            <w:r>
              <w:rPr>
                <w:rFonts w:ascii="Times New Roman" w:cs="Times New Roman" w:eastAsia="Times New Roman" w:hAnsi="Times New Roman"/>
                <w:sz w:val="21"/>
                <w:szCs w:val="21"/>
                <w:color w:val="auto"/>
              </w:rPr>
              <w:t>4.666666667%</w:t>
            </w:r>
          </w:p>
        </w:tc>
        <w:tc>
          <w:tcPr>
            <w:tcW w:w="2700" w:type="dxa"/>
            <w:vAlign w:val="bottom"/>
            <w:tcBorders>
              <w:right w:val="single" w:sz="8" w:color="auto"/>
            </w:tcBorders>
          </w:tcPr>
          <w:p>
            <w:pPr>
              <w:jc w:val="center"/>
              <w:ind w:left="514"/>
              <w:spacing w:after="0"/>
              <w:rPr>
                <w:sz w:val="20"/>
                <w:szCs w:val="20"/>
                <w:color w:val="auto"/>
              </w:rPr>
            </w:pPr>
            <w:r>
              <w:rPr>
                <w:rFonts w:ascii="Times New Roman" w:cs="Times New Roman" w:eastAsia="Times New Roman" w:hAnsi="Times New Roman"/>
                <w:sz w:val="21"/>
                <w:szCs w:val="21"/>
                <w:color w:val="auto"/>
              </w:rPr>
              <w:t>$17,500,000.00</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$46,666,666.67</w:t>
            </w:r>
          </w:p>
        </w:tc>
        <w:tc>
          <w:tcPr>
            <w:tcW w:w="0" w:type="dxa"/>
            <w:vAlign w:val="bottom"/>
          </w:tcPr>
          <w:p>
            <w:pPr>
              <w:spacing w:after="0"/>
              <w:rPr>
                <w:sz w:val="1"/>
                <w:szCs w:val="1"/>
                <w:color w:val="auto"/>
              </w:rPr>
            </w:pPr>
          </w:p>
        </w:tc>
      </w:tr>
      <w:tr>
        <w:trPr>
          <w:trHeight w:val="93"/>
        </w:trPr>
        <w:tc>
          <w:tcPr>
            <w:tcW w:w="282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tcPr>
          <w:p>
            <w:pPr>
              <w:spacing w:after="0"/>
              <w:rPr>
                <w:sz w:val="8"/>
                <w:szCs w:val="8"/>
                <w:color w:val="auto"/>
              </w:rPr>
            </w:pPr>
          </w:p>
        </w:tc>
        <w:tc>
          <w:tcPr>
            <w:tcW w:w="3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820" w:type="dxa"/>
            <w:vAlign w:val="bottom"/>
            <w:tcBorders>
              <w:left w:val="single" w:sz="8" w:color="auto"/>
              <w:right w:val="single" w:sz="8" w:color="auto"/>
            </w:tcBorders>
            <w:vMerge w:val="restart"/>
          </w:tcPr>
          <w:p>
            <w:pPr>
              <w:ind w:left="720"/>
              <w:spacing w:after="0"/>
              <w:rPr>
                <w:sz w:val="20"/>
                <w:szCs w:val="20"/>
                <w:color w:val="auto"/>
              </w:rPr>
            </w:pPr>
            <w:r>
              <w:rPr>
                <w:rFonts w:ascii="Times New Roman" w:cs="Times New Roman" w:eastAsia="Times New Roman" w:hAnsi="Times New Roman"/>
                <w:sz w:val="21"/>
                <w:szCs w:val="21"/>
                <w:color w:val="auto"/>
              </w:rPr>
              <w:t>First Horizon Bank</w:t>
            </w:r>
          </w:p>
        </w:tc>
        <w:tc>
          <w:tcPr>
            <w:tcW w:w="2600" w:type="dxa"/>
            <w:vAlign w:val="bottom"/>
            <w:tcBorders>
              <w:right w:val="single" w:sz="8" w:color="auto"/>
            </w:tcBorders>
          </w:tcPr>
          <w:p>
            <w:pPr>
              <w:jc w:val="center"/>
              <w:ind w:left="494"/>
              <w:spacing w:after="0"/>
              <w:rPr>
                <w:sz w:val="20"/>
                <w:szCs w:val="20"/>
                <w:color w:val="auto"/>
              </w:rPr>
            </w:pPr>
            <w:r>
              <w:rPr>
                <w:rFonts w:ascii="Times New Roman" w:cs="Times New Roman" w:eastAsia="Times New Roman" w:hAnsi="Times New Roman"/>
                <w:sz w:val="21"/>
                <w:szCs w:val="21"/>
                <w:color w:val="auto"/>
              </w:rPr>
              <w:t>4.666666667%</w:t>
            </w:r>
          </w:p>
        </w:tc>
        <w:tc>
          <w:tcPr>
            <w:tcW w:w="2700" w:type="dxa"/>
            <w:vAlign w:val="bottom"/>
            <w:tcBorders>
              <w:right w:val="single" w:sz="8" w:color="auto"/>
            </w:tcBorders>
          </w:tcPr>
          <w:p>
            <w:pPr>
              <w:jc w:val="center"/>
              <w:ind w:left="514"/>
              <w:spacing w:after="0"/>
              <w:rPr>
                <w:sz w:val="20"/>
                <w:szCs w:val="20"/>
                <w:color w:val="auto"/>
              </w:rPr>
            </w:pPr>
            <w:r>
              <w:rPr>
                <w:rFonts w:ascii="Times New Roman" w:cs="Times New Roman" w:eastAsia="Times New Roman" w:hAnsi="Times New Roman"/>
                <w:sz w:val="21"/>
                <w:szCs w:val="21"/>
                <w:color w:val="auto"/>
              </w:rPr>
              <w:t>$17,500,000.00</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$46,666,666.67</w:t>
            </w:r>
          </w:p>
        </w:tc>
        <w:tc>
          <w:tcPr>
            <w:tcW w:w="0" w:type="dxa"/>
            <w:vAlign w:val="bottom"/>
          </w:tcPr>
          <w:p>
            <w:pPr>
              <w:spacing w:after="0"/>
              <w:rPr>
                <w:sz w:val="1"/>
                <w:szCs w:val="1"/>
                <w:color w:val="auto"/>
              </w:rPr>
            </w:pPr>
          </w:p>
        </w:tc>
      </w:tr>
      <w:tr>
        <w:trPr>
          <w:trHeight w:val="93"/>
        </w:trPr>
        <w:tc>
          <w:tcPr>
            <w:tcW w:w="282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tcPr>
          <w:p>
            <w:pPr>
              <w:spacing w:after="0"/>
              <w:rPr>
                <w:sz w:val="8"/>
                <w:szCs w:val="8"/>
                <w:color w:val="auto"/>
              </w:rPr>
            </w:pPr>
          </w:p>
        </w:tc>
        <w:tc>
          <w:tcPr>
            <w:tcW w:w="3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820" w:type="dxa"/>
            <w:vAlign w:val="bottom"/>
            <w:tcBorders>
              <w:left w:val="single" w:sz="8" w:color="auto"/>
              <w:right w:val="single" w:sz="8" w:color="auto"/>
            </w:tcBorders>
            <w:vMerge w:val="restart"/>
          </w:tcPr>
          <w:p>
            <w:pPr>
              <w:ind w:left="720"/>
              <w:spacing w:after="0"/>
              <w:rPr>
                <w:sz w:val="20"/>
                <w:szCs w:val="20"/>
                <w:color w:val="auto"/>
              </w:rPr>
            </w:pPr>
            <w:r>
              <w:rPr>
                <w:rFonts w:ascii="Times New Roman" w:cs="Times New Roman" w:eastAsia="Times New Roman" w:hAnsi="Times New Roman"/>
                <w:sz w:val="21"/>
                <w:szCs w:val="21"/>
                <w:color w:val="auto"/>
              </w:rPr>
              <w:t>Texas Capital Bank</w:t>
            </w:r>
          </w:p>
        </w:tc>
        <w:tc>
          <w:tcPr>
            <w:tcW w:w="2600" w:type="dxa"/>
            <w:vAlign w:val="bottom"/>
            <w:tcBorders>
              <w:right w:val="single" w:sz="8" w:color="auto"/>
            </w:tcBorders>
          </w:tcPr>
          <w:p>
            <w:pPr>
              <w:jc w:val="center"/>
              <w:ind w:left="494"/>
              <w:spacing w:after="0"/>
              <w:rPr>
                <w:sz w:val="20"/>
                <w:szCs w:val="20"/>
                <w:color w:val="auto"/>
              </w:rPr>
            </w:pPr>
            <w:r>
              <w:rPr>
                <w:rFonts w:ascii="Times New Roman" w:cs="Times New Roman" w:eastAsia="Times New Roman" w:hAnsi="Times New Roman"/>
                <w:sz w:val="21"/>
                <w:szCs w:val="21"/>
                <w:color w:val="auto"/>
              </w:rPr>
              <w:t>4.666666667%</w:t>
            </w:r>
          </w:p>
        </w:tc>
        <w:tc>
          <w:tcPr>
            <w:tcW w:w="2700" w:type="dxa"/>
            <w:vAlign w:val="bottom"/>
            <w:tcBorders>
              <w:right w:val="single" w:sz="8" w:color="auto"/>
            </w:tcBorders>
          </w:tcPr>
          <w:p>
            <w:pPr>
              <w:jc w:val="center"/>
              <w:ind w:left="514"/>
              <w:spacing w:after="0"/>
              <w:rPr>
                <w:sz w:val="20"/>
                <w:szCs w:val="20"/>
                <w:color w:val="auto"/>
              </w:rPr>
            </w:pPr>
            <w:r>
              <w:rPr>
                <w:rFonts w:ascii="Times New Roman" w:cs="Times New Roman" w:eastAsia="Times New Roman" w:hAnsi="Times New Roman"/>
                <w:sz w:val="21"/>
                <w:szCs w:val="21"/>
                <w:color w:val="auto"/>
              </w:rPr>
              <w:t>$17,500,000.00</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$46,666,666.67</w:t>
            </w:r>
          </w:p>
        </w:tc>
        <w:tc>
          <w:tcPr>
            <w:tcW w:w="0" w:type="dxa"/>
            <w:vAlign w:val="bottom"/>
          </w:tcPr>
          <w:p>
            <w:pPr>
              <w:spacing w:after="0"/>
              <w:rPr>
                <w:sz w:val="1"/>
                <w:szCs w:val="1"/>
                <w:color w:val="auto"/>
              </w:rPr>
            </w:pPr>
          </w:p>
        </w:tc>
      </w:tr>
      <w:tr>
        <w:trPr>
          <w:trHeight w:val="93"/>
        </w:trPr>
        <w:tc>
          <w:tcPr>
            <w:tcW w:w="282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tcPr>
          <w:p>
            <w:pPr>
              <w:spacing w:after="0"/>
              <w:rPr>
                <w:sz w:val="8"/>
                <w:szCs w:val="8"/>
                <w:color w:val="auto"/>
              </w:rPr>
            </w:pPr>
          </w:p>
        </w:tc>
        <w:tc>
          <w:tcPr>
            <w:tcW w:w="3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820" w:type="dxa"/>
            <w:vAlign w:val="bottom"/>
            <w:tcBorders>
              <w:left w:val="single" w:sz="8" w:color="auto"/>
              <w:right w:val="single" w:sz="8" w:color="auto"/>
            </w:tcBorders>
            <w:vMerge w:val="restart"/>
          </w:tcPr>
          <w:p>
            <w:pPr>
              <w:ind w:left="720"/>
              <w:spacing w:after="0"/>
              <w:rPr>
                <w:sz w:val="20"/>
                <w:szCs w:val="20"/>
                <w:color w:val="auto"/>
              </w:rPr>
            </w:pPr>
            <w:r>
              <w:rPr>
                <w:rFonts w:ascii="Times New Roman" w:cs="Times New Roman" w:eastAsia="Times New Roman" w:hAnsi="Times New Roman"/>
                <w:sz w:val="21"/>
                <w:szCs w:val="21"/>
                <w:color w:val="auto"/>
              </w:rPr>
              <w:t>UMB Bank, N.A.</w:t>
            </w:r>
          </w:p>
        </w:tc>
        <w:tc>
          <w:tcPr>
            <w:tcW w:w="2600" w:type="dxa"/>
            <w:vAlign w:val="bottom"/>
            <w:tcBorders>
              <w:right w:val="single" w:sz="8" w:color="auto"/>
            </w:tcBorders>
          </w:tcPr>
          <w:p>
            <w:pPr>
              <w:jc w:val="center"/>
              <w:ind w:left="494"/>
              <w:spacing w:after="0"/>
              <w:rPr>
                <w:sz w:val="20"/>
                <w:szCs w:val="20"/>
                <w:color w:val="auto"/>
              </w:rPr>
            </w:pPr>
            <w:r>
              <w:rPr>
                <w:rFonts w:ascii="Times New Roman" w:cs="Times New Roman" w:eastAsia="Times New Roman" w:hAnsi="Times New Roman"/>
                <w:sz w:val="21"/>
                <w:szCs w:val="21"/>
                <w:color w:val="auto"/>
              </w:rPr>
              <w:t>4.666666667%</w:t>
            </w:r>
          </w:p>
        </w:tc>
        <w:tc>
          <w:tcPr>
            <w:tcW w:w="2700" w:type="dxa"/>
            <w:vAlign w:val="bottom"/>
            <w:tcBorders>
              <w:right w:val="single" w:sz="8" w:color="auto"/>
            </w:tcBorders>
          </w:tcPr>
          <w:p>
            <w:pPr>
              <w:jc w:val="center"/>
              <w:ind w:left="514"/>
              <w:spacing w:after="0"/>
              <w:rPr>
                <w:sz w:val="20"/>
                <w:szCs w:val="20"/>
                <w:color w:val="auto"/>
              </w:rPr>
            </w:pPr>
            <w:r>
              <w:rPr>
                <w:rFonts w:ascii="Times New Roman" w:cs="Times New Roman" w:eastAsia="Times New Roman" w:hAnsi="Times New Roman"/>
                <w:sz w:val="21"/>
                <w:szCs w:val="21"/>
                <w:color w:val="auto"/>
              </w:rPr>
              <w:t>$17,500,000.00</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$46,666,666.67</w:t>
            </w:r>
          </w:p>
        </w:tc>
        <w:tc>
          <w:tcPr>
            <w:tcW w:w="0" w:type="dxa"/>
            <w:vAlign w:val="bottom"/>
          </w:tcPr>
          <w:p>
            <w:pPr>
              <w:spacing w:after="0"/>
              <w:rPr>
                <w:sz w:val="1"/>
                <w:szCs w:val="1"/>
                <w:color w:val="auto"/>
              </w:rPr>
            </w:pPr>
          </w:p>
        </w:tc>
      </w:tr>
      <w:tr>
        <w:trPr>
          <w:trHeight w:val="93"/>
        </w:trPr>
        <w:tc>
          <w:tcPr>
            <w:tcW w:w="2820" w:type="dxa"/>
            <w:vAlign w:val="bottom"/>
            <w:tcBorders>
              <w:left w:val="single" w:sz="8" w:color="auto"/>
              <w:right w:val="single" w:sz="8" w:color="auto"/>
            </w:tcBorders>
            <w:vMerge w:val="continue"/>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tcPr>
          <w:p>
            <w:pPr>
              <w:spacing w:after="0"/>
              <w:rPr>
                <w:sz w:val="8"/>
                <w:szCs w:val="8"/>
                <w:color w:val="auto"/>
              </w:rPr>
            </w:pPr>
          </w:p>
        </w:tc>
        <w:tc>
          <w:tcPr>
            <w:tcW w:w="3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82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1"/>
                <w:szCs w:val="21"/>
                <w:b w:val="1"/>
                <w:bCs w:val="1"/>
                <w:color w:val="auto"/>
              </w:rPr>
              <w:t>TOTAL</w:t>
            </w:r>
          </w:p>
        </w:tc>
        <w:tc>
          <w:tcPr>
            <w:tcW w:w="2600" w:type="dxa"/>
            <w:vAlign w:val="bottom"/>
            <w:tcBorders>
              <w:right w:val="single" w:sz="8" w:color="auto"/>
            </w:tcBorders>
          </w:tcPr>
          <w:p>
            <w:pPr>
              <w:jc w:val="center"/>
              <w:ind w:left="494"/>
              <w:spacing w:after="0"/>
              <w:rPr>
                <w:sz w:val="20"/>
                <w:szCs w:val="20"/>
                <w:color w:val="auto"/>
              </w:rPr>
            </w:pPr>
            <w:r>
              <w:rPr>
                <w:rFonts w:ascii="Times New Roman" w:cs="Times New Roman" w:eastAsia="Times New Roman" w:hAnsi="Times New Roman"/>
                <w:sz w:val="21"/>
                <w:szCs w:val="21"/>
                <w:b w:val="1"/>
                <w:bCs w:val="1"/>
                <w:color w:val="auto"/>
              </w:rPr>
              <w:t>100.00000000%</w:t>
            </w:r>
          </w:p>
        </w:tc>
        <w:tc>
          <w:tcPr>
            <w:tcW w:w="2700" w:type="dxa"/>
            <w:vAlign w:val="bottom"/>
            <w:tcBorders>
              <w:right w:val="single" w:sz="8" w:color="auto"/>
            </w:tcBorders>
          </w:tcPr>
          <w:p>
            <w:pPr>
              <w:jc w:val="right"/>
              <w:ind w:right="534"/>
              <w:spacing w:after="0"/>
              <w:rPr>
                <w:sz w:val="20"/>
                <w:szCs w:val="20"/>
                <w:color w:val="auto"/>
              </w:rPr>
            </w:pPr>
            <w:r>
              <w:rPr>
                <w:rFonts w:ascii="Times New Roman" w:cs="Times New Roman" w:eastAsia="Times New Roman" w:hAnsi="Times New Roman"/>
                <w:sz w:val="21"/>
                <w:szCs w:val="21"/>
                <w:b w:val="1"/>
                <w:bCs w:val="1"/>
                <w:color w:val="auto"/>
              </w:rPr>
              <w:t>$375,000,000.00</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$1,000,000,000.00</w:t>
            </w:r>
          </w:p>
        </w:tc>
        <w:tc>
          <w:tcPr>
            <w:tcW w:w="0" w:type="dxa"/>
            <w:vAlign w:val="bottom"/>
          </w:tcPr>
          <w:p>
            <w:pPr>
              <w:spacing w:after="0"/>
              <w:rPr>
                <w:sz w:val="1"/>
                <w:szCs w:val="1"/>
                <w:color w:val="auto"/>
              </w:rPr>
            </w:pPr>
          </w:p>
        </w:tc>
      </w:tr>
      <w:tr>
        <w:trPr>
          <w:trHeight w:val="228"/>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2.1</w:t>
      </w:r>
    </w:p>
    <w:p>
      <w:pPr>
        <w:sectPr>
          <w:pgSz w:w="11900" w:h="16838" w:orient="portrait"/>
          <w:cols w:equalWidth="0" w:num="1">
            <w:col w:w="11260"/>
          </w:cols>
          <w:pgMar w:left="320" w:top="1393"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S. Farquharson, certify that:</w:t>
      </w:r>
    </w:p>
    <w:p>
      <w:pPr>
        <w:spacing w:after="0" w:line="217" w:lineRule="exact"/>
        <w:rPr>
          <w:sz w:val="20"/>
          <w:szCs w:val="20"/>
          <w:color w:val="auto"/>
        </w:rPr>
      </w:pPr>
    </w:p>
    <w:p>
      <w:pPr>
        <w:ind w:left="640" w:hanging="634"/>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Granite Ridge Resources, Inc.;</w:t>
      </w:r>
    </w:p>
    <w:p>
      <w:pPr>
        <w:spacing w:after="0" w:line="217" w:lineRule="exact"/>
        <w:rPr>
          <w:rFonts w:ascii="Times New Roman" w:cs="Times New Roman" w:eastAsia="Times New Roman" w:hAnsi="Times New Roman"/>
          <w:sz w:val="18"/>
          <w:szCs w:val="18"/>
          <w:color w:val="auto"/>
        </w:rPr>
      </w:pPr>
    </w:p>
    <w:p>
      <w:pPr>
        <w:jc w:val="both"/>
        <w:ind w:left="640" w:hanging="634"/>
        <w:spacing w:after="0" w:line="259"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634"/>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634"/>
        <w:spacing w:after="0" w:line="259"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304" w:lineRule="auto"/>
        <w:tabs>
          <w:tab w:leader="none" w:pos="948"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7"/>
          <w:szCs w:val="17"/>
          <w:color w:val="auto"/>
        </w:rPr>
      </w:pPr>
    </w:p>
    <w:p>
      <w:pPr>
        <w:ind w:left="640" w:hanging="634"/>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580"/>
        <w:spacing w:after="0"/>
        <w:tabs>
          <w:tab w:leader="none" w:pos="5180" w:val="left"/>
          <w:tab w:leader="none" w:pos="6420" w:val="left"/>
        </w:tabs>
        <w:rPr>
          <w:sz w:val="20"/>
          <w:szCs w:val="20"/>
          <w:color w:val="auto"/>
        </w:rPr>
      </w:pPr>
      <w:r>
        <w:rPr>
          <w:rFonts w:ascii="Times New Roman" w:cs="Times New Roman" w:eastAsia="Times New Roman" w:hAnsi="Times New Roman"/>
          <w:sz w:val="18"/>
          <w:szCs w:val="18"/>
          <w:color w:val="auto"/>
        </w:rPr>
        <w:t>Dated: August 7, 2025</w:t>
      </w:r>
      <w:r>
        <w:rPr>
          <w:sz w:val="20"/>
          <w:szCs w:val="20"/>
          <w:color w:val="auto"/>
        </w:rPr>
        <w:tab/>
      </w:r>
      <w:r>
        <w:rPr>
          <w:rFonts w:ascii="Times New Roman" w:cs="Times New Roman" w:eastAsia="Times New Roman" w:hAnsi="Times New Roman"/>
          <w:sz w:val="19"/>
          <w:szCs w:val="19"/>
          <w:color w:val="auto"/>
        </w:rPr>
        <w:t>By: /s/</w:t>
      </w:r>
      <w:r>
        <w:rPr>
          <w:sz w:val="20"/>
          <w:szCs w:val="20"/>
          <w:color w:val="auto"/>
        </w:rPr>
        <w:tab/>
      </w:r>
      <w:r>
        <w:rPr>
          <w:rFonts w:ascii="Times New Roman" w:cs="Times New Roman" w:eastAsia="Times New Roman" w:hAnsi="Times New Roman"/>
          <w:sz w:val="19"/>
          <w:szCs w:val="19"/>
          <w:color w:val="auto"/>
        </w:rPr>
        <w:t>TYLER S.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35560</wp:posOffset>
            </wp:positionV>
            <wp:extent cx="385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853180"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Tyler S. Farquharson</w:t>
      </w:r>
    </w:p>
    <w:p>
      <w:pPr>
        <w:spacing w:after="0" w:line="4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126"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Kimberly A. Weimer, certify that:</w:t>
      </w:r>
    </w:p>
    <w:p>
      <w:pPr>
        <w:spacing w:after="0" w:line="217" w:lineRule="exact"/>
        <w:rPr>
          <w:sz w:val="20"/>
          <w:szCs w:val="20"/>
          <w:color w:val="auto"/>
        </w:rPr>
      </w:pPr>
    </w:p>
    <w:p>
      <w:pPr>
        <w:ind w:left="640" w:hanging="63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Granite Ridge Resources, Inc.;</w:t>
      </w:r>
    </w:p>
    <w:p>
      <w:pPr>
        <w:spacing w:after="0" w:line="217" w:lineRule="exact"/>
        <w:rPr>
          <w:rFonts w:ascii="Times New Roman" w:cs="Times New Roman" w:eastAsia="Times New Roman" w:hAnsi="Times New Roman"/>
          <w:sz w:val="18"/>
          <w:szCs w:val="18"/>
          <w:color w:val="auto"/>
        </w:rPr>
      </w:pPr>
    </w:p>
    <w:p>
      <w:pPr>
        <w:jc w:val="both"/>
        <w:ind w:left="640" w:hanging="634"/>
        <w:spacing w:after="0" w:line="259"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634"/>
        <w:spacing w:after="0" w:line="27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634"/>
        <w:spacing w:after="0" w:line="259"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304" w:lineRule="auto"/>
        <w:tabs>
          <w:tab w:leader="none" w:pos="94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7"/>
          <w:szCs w:val="17"/>
          <w:color w:val="auto"/>
        </w:rPr>
      </w:pPr>
    </w:p>
    <w:p>
      <w:pPr>
        <w:ind w:left="640" w:hanging="634"/>
        <w:spacing w:after="0" w:line="27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580"/>
        <w:spacing w:after="0"/>
        <w:tabs>
          <w:tab w:leader="none" w:pos="5180" w:val="left"/>
          <w:tab w:leader="none" w:pos="6420" w:val="left"/>
        </w:tabs>
        <w:rPr>
          <w:sz w:val="20"/>
          <w:szCs w:val="20"/>
          <w:color w:val="auto"/>
        </w:rPr>
      </w:pPr>
      <w:r>
        <w:rPr>
          <w:rFonts w:ascii="Times New Roman" w:cs="Times New Roman" w:eastAsia="Times New Roman" w:hAnsi="Times New Roman"/>
          <w:sz w:val="18"/>
          <w:szCs w:val="18"/>
          <w:color w:val="auto"/>
        </w:rPr>
        <w:t>Dated: August 7, 2025</w:t>
      </w:r>
      <w:r>
        <w:rPr>
          <w:sz w:val="20"/>
          <w:szCs w:val="20"/>
          <w:color w:val="auto"/>
        </w:rPr>
        <w:tab/>
      </w:r>
      <w:r>
        <w:rPr>
          <w:rFonts w:ascii="Times New Roman" w:cs="Times New Roman" w:eastAsia="Times New Roman" w:hAnsi="Times New Roman"/>
          <w:sz w:val="19"/>
          <w:szCs w:val="19"/>
          <w:color w:val="auto"/>
        </w:rPr>
        <w:t>By: /s/</w:t>
      </w:r>
      <w:r>
        <w:rPr>
          <w:sz w:val="20"/>
          <w:szCs w:val="20"/>
          <w:color w:val="auto"/>
        </w:rPr>
        <w:tab/>
      </w:r>
      <w:r>
        <w:rPr>
          <w:rFonts w:ascii="Times New Roman" w:cs="Times New Roman" w:eastAsia="Times New Roman" w:hAnsi="Times New Roman"/>
          <w:sz w:val="19"/>
          <w:szCs w:val="19"/>
          <w:color w:val="auto"/>
        </w:rPr>
        <w:t>KIMBERLY A. WEIMER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35560</wp:posOffset>
            </wp:positionV>
            <wp:extent cx="385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853180"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Kimberly A. Weimer</w:t>
      </w:r>
    </w:p>
    <w:p>
      <w:pPr>
        <w:spacing w:after="0" w:line="4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Interim Chief Financial Officer and Chief Accounting Officer</w:t>
      </w:r>
    </w:p>
    <w:p>
      <w:pPr>
        <w:sectPr>
          <w:pgSz w:w="11900" w:h="16838" w:orient="portrait"/>
          <w:cols w:equalWidth="0" w:num="1">
            <w:col w:w="11240"/>
          </w:cols>
          <w:pgMar w:left="320" w:top="1126"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Granite Ridge Resources, Inc. (the “Company”) for the period ended June 30, 2025, as filed with the United States Securities and Exchange Commission on the date hereof (the “Report”), the undersigned officers of the Company hereby certify, pursuant to 18 U.S.C. Section 1350, as adopted pursuant to Section 906 of the Sarbanes-Oxley Act of 2002, that, to their knowledge:</w:t>
      </w:r>
    </w:p>
    <w:p>
      <w:pPr>
        <w:spacing w:after="0" w:line="178" w:lineRule="exact"/>
        <w:rPr>
          <w:sz w:val="20"/>
          <w:szCs w:val="20"/>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7, 2025</w:t>
            </w:r>
          </w:p>
        </w:tc>
        <w:tc>
          <w:tcPr>
            <w:tcW w:w="23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TYLER S. FARQUHARSON</w:t>
            </w:r>
          </w:p>
        </w:tc>
      </w:tr>
      <w:tr>
        <w:trPr>
          <w:trHeight w:val="239"/>
        </w:trPr>
        <w:tc>
          <w:tcPr>
            <w:tcW w:w="3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Tyler S. Farquharson</w:t>
            </w:r>
          </w:p>
        </w:tc>
      </w:tr>
      <w:tr>
        <w:trPr>
          <w:trHeight w:val="252"/>
        </w:trPr>
        <w:tc>
          <w:tcPr>
            <w:tcW w:w="3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52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7, 2025</w:t>
            </w:r>
          </w:p>
        </w:tc>
        <w:tc>
          <w:tcPr>
            <w:tcW w:w="23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KIMBERLY A. WEIMER</w:t>
            </w:r>
          </w:p>
        </w:tc>
      </w:tr>
      <w:tr>
        <w:trPr>
          <w:trHeight w:val="239"/>
        </w:trPr>
        <w:tc>
          <w:tcPr>
            <w:tcW w:w="3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Kimberly A. Weimer</w:t>
            </w:r>
          </w:p>
        </w:tc>
      </w:tr>
      <w:tr>
        <w:trPr>
          <w:trHeight w:val="217"/>
        </w:trPr>
        <w:tc>
          <w:tcPr>
            <w:tcW w:w="3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Interim Chief Financial Officer and Chief Accounting</w:t>
            </w:r>
          </w:p>
        </w:tc>
      </w:tr>
      <w:tr>
        <w:trPr>
          <w:trHeight w:val="233"/>
        </w:trPr>
        <w:tc>
          <w:tcPr>
            <w:tcW w:w="3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Officer</w:t>
            </w:r>
          </w:p>
        </w:tc>
      </w:tr>
    </w:tbl>
    <w:p>
      <w:pPr>
        <w:spacing w:after="0" w:line="1" w:lineRule="exact"/>
        <w:rPr>
          <w:sz w:val="20"/>
          <w:szCs w:val="20"/>
          <w:color w:val="auto"/>
        </w:rPr>
      </w:pPr>
    </w:p>
    <w:sectPr>
      <w:pgSz w:w="11900" w:h="16838" w:orient="portrait"/>
      <w:cols w:equalWidth="0" w:num="1">
        <w:col w:w="11240"/>
      </w:cols>
      <w:pgMar w:left="320" w:top="1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1"/>
    </w:lvl>
    <w:lvl w:ilvl="1">
      <w:lvlJc w:val="left"/>
      <w:lvlText w:val="(%2)"/>
      <w:numFmt w:val="decimal"/>
      <w:start w:val="2"/>
    </w:lvl>
  </w:abstractNum>
  <w:abstractNum w:abstractNumId="6">
    <w:nsid w:val="66EF438D"/>
    <w:multiLevelType w:val="hybridMultilevel"/>
    <w:lvl w:ilvl="0">
      <w:lvlJc w:val="left"/>
      <w:lvlText w:val="%1."/>
      <w:numFmt w:val="decimal"/>
      <w:start w:val="7"/>
    </w:lvl>
    <w:lvl w:ilvl="1">
      <w:lvlJc w:val="left"/>
      <w:lvlText w:val="%2"/>
      <w:numFmt w:val="decimal"/>
      <w:start w:val="1"/>
    </w:lvl>
  </w:abstractNum>
  <w:abstractNum w:abstractNumId="7">
    <w:nsid w:val="140E0F76"/>
    <w:multiLevelType w:val="hybridMultilevel"/>
    <w:lvl w:ilvl="0">
      <w:lvlJc w:val="left"/>
      <w:lvlText w:val="(%1)"/>
      <w:numFmt w:val="lowerRoman"/>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Roman"/>
      <w:start w:val="2"/>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1."/>
      <w:numFmt w:val="upp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55" Type="http://schemas.openxmlformats.org/officeDocument/2006/relationships/hyperlink" Target="https://www.sec.gov/Archives/edgar/data/1928446/000110465922112452/tm2228430d2_ex3-1.htm" TargetMode="External"/><Relationship Id="rId56" Type="http://schemas.openxmlformats.org/officeDocument/2006/relationships/hyperlink" Target="https://www.sec.gov/Archives/edgar/data/1928446/000110465922112452/tm2228430d2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2025-08-07T16:28:41Z</dcterms:created>
  <dcterms:modified xsi:type="dcterms:W3CDTF">2025-08-07T16:28:41Z</dcterms:modified>
</cp:coreProperties>
</file>