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428625</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9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UNITED STATES</w:t>
      </w:r>
    </w:p>
    <w:p>
      <w:pPr>
        <w:jc w:val="center"/>
        <w:ind w:right="19"/>
        <w:spacing w:after="0" w:line="229" w:lineRule="auto"/>
        <w:rPr>
          <w:sz w:val="20"/>
          <w:szCs w:val="20"/>
          <w:color w:val="auto"/>
        </w:rPr>
      </w:pPr>
      <w:r>
        <w:rPr>
          <w:rFonts w:ascii="Times New Roman" w:cs="Times New Roman" w:eastAsia="Times New Roman" w:hAnsi="Times New Roman"/>
          <w:sz w:val="14"/>
          <w:szCs w:val="14"/>
          <w:b w:val="1"/>
          <w:bCs w:val="1"/>
          <w:color w:val="auto"/>
        </w:rPr>
        <w:t>SECURITIES AND EXCHANGE COMMISSION</w:t>
      </w: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WASHINGTON, D.C. 20549</w:t>
      </w:r>
    </w:p>
    <w:p>
      <w:pPr>
        <w:spacing w:after="0" w:line="3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FORM 10-Q</w:t>
      </w:r>
    </w:p>
    <w:p>
      <w:pPr>
        <w:spacing w:after="0" w:line="69" w:lineRule="exact"/>
        <w:rPr>
          <w:sz w:val="24"/>
          <w:szCs w:val="24"/>
          <w:color w:val="auto"/>
        </w:rPr>
      </w:pPr>
    </w:p>
    <w:p>
      <w:pPr>
        <w:ind w:left="820" w:hanging="770"/>
        <w:spacing w:after="0"/>
        <w:tabs>
          <w:tab w:leader="none" w:pos="820" w:val="left"/>
        </w:tabs>
        <w:numPr>
          <w:ilvl w:val="0"/>
          <w:numId w:val="1"/>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28" w:lineRule="exact"/>
        <w:rPr>
          <w:rFonts w:ascii="Arial" w:cs="Arial" w:eastAsia="Arial" w:hAnsi="Arial"/>
          <w:sz w:val="14"/>
          <w:szCs w:val="14"/>
          <w:color w:val="auto"/>
        </w:rPr>
      </w:pPr>
    </w:p>
    <w:p>
      <w:pPr>
        <w:ind w:left="2920"/>
        <w:spacing w:after="0"/>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For the quarterly period ended September 30, 2022</w:t>
      </w:r>
    </w:p>
    <w:p>
      <w:pPr>
        <w:spacing w:after="0" w:line="298" w:lineRule="exact"/>
        <w:rPr>
          <w:sz w:val="24"/>
          <w:szCs w:val="24"/>
          <w:color w:val="auto"/>
        </w:rPr>
      </w:pPr>
    </w:p>
    <w:p>
      <w:pPr>
        <w:ind w:left="820" w:hanging="770"/>
        <w:spacing w:after="0"/>
        <w:tabs>
          <w:tab w:leader="none" w:pos="820" w:val="left"/>
        </w:tabs>
        <w:numPr>
          <w:ilvl w:val="0"/>
          <w:numId w:val="2"/>
        </w:numPr>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w:t>
      </w:r>
    </w:p>
    <w:p>
      <w:pPr>
        <w:spacing w:after="0" w:line="28" w:lineRule="exact"/>
        <w:rPr>
          <w:rFonts w:ascii="Arial" w:cs="Arial" w:eastAsia="Arial" w:hAnsi="Arial"/>
          <w:sz w:val="14"/>
          <w:szCs w:val="14"/>
          <w:color w:val="auto"/>
        </w:rPr>
      </w:pPr>
    </w:p>
    <w:p>
      <w:pPr>
        <w:ind w:left="3000"/>
        <w:spacing w:after="0"/>
        <w:rPr>
          <w:rFonts w:ascii="Arial" w:cs="Arial" w:eastAsia="Arial" w:hAnsi="Arial"/>
          <w:sz w:val="14"/>
          <w:szCs w:val="14"/>
          <w:color w:val="auto"/>
        </w:rPr>
      </w:pPr>
      <w:r>
        <w:rPr>
          <w:rFonts w:ascii="Times New Roman" w:cs="Times New Roman" w:eastAsia="Times New Roman" w:hAnsi="Times New Roman"/>
          <w:sz w:val="14"/>
          <w:szCs w:val="14"/>
          <w:b w:val="1"/>
          <w:bCs w:val="1"/>
          <w:color w:val="auto"/>
        </w:rPr>
        <w:t>For the transition period from ______ to _______</w:t>
      </w:r>
    </w:p>
    <w:p>
      <w:pPr>
        <w:spacing w:after="0" w:line="1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Commission File Number: 001-41537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59055</wp:posOffset>
            </wp:positionV>
            <wp:extent cx="140589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GRANITE RIDGE RESOURCES, INC.</w:t>
      </w:r>
    </w:p>
    <w:p>
      <w:pPr>
        <w:spacing w:after="0" w:line="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2157095</wp:posOffset>
            </wp:positionH>
            <wp:positionV relativeFrom="paragraph">
              <wp:posOffset>47625</wp:posOffset>
            </wp:positionV>
            <wp:extent cx="14058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236" w:lineRule="exact"/>
        <w:rPr>
          <w:sz w:val="24"/>
          <w:szCs w:val="24"/>
          <w:color w:val="auto"/>
        </w:rPr>
      </w:pPr>
    </w:p>
    <w:tbl>
      <w:tblPr>
        <w:tblLayout w:type="fixed"/>
        <w:tblInd w:w="680" w:type="dxa"/>
        <w:tblCellMar>
          <w:top w:w="0" w:type="dxa"/>
          <w:left w:w="0" w:type="dxa"/>
          <w:bottom w:w="0" w:type="dxa"/>
          <w:right w:w="0" w:type="dxa"/>
        </w:tblCellMar>
      </w:tblPr>
      <w:tr>
        <w:trPr>
          <w:trHeight w:val="161"/>
        </w:trPr>
        <w:tc>
          <w:tcPr>
            <w:tcW w:w="2200" w:type="dxa"/>
            <w:vAlign w:val="bottom"/>
          </w:tcPr>
          <w:p>
            <w:pPr>
              <w:jc w:val="center"/>
              <w:ind w:right="428"/>
              <w:spacing w:after="0"/>
              <w:rPr>
                <w:sz w:val="20"/>
                <w:szCs w:val="20"/>
                <w:color w:val="auto"/>
              </w:rPr>
            </w:pPr>
            <w:r>
              <w:rPr>
                <w:rFonts w:ascii="Times New Roman" w:cs="Times New Roman" w:eastAsia="Times New Roman" w:hAnsi="Times New Roman"/>
                <w:sz w:val="14"/>
                <w:szCs w:val="14"/>
                <w:b w:val="1"/>
                <w:bCs w:val="1"/>
                <w:color w:val="auto"/>
              </w:rPr>
              <w:t>Delaware</w:t>
            </w:r>
          </w:p>
        </w:tc>
        <w:tc>
          <w:tcPr>
            <w:tcW w:w="3340" w:type="dxa"/>
            <w:vAlign w:val="bottom"/>
          </w:tcPr>
          <w:p>
            <w:pPr>
              <w:jc w:val="right"/>
              <w:ind w:right="1508"/>
              <w:spacing w:after="0"/>
              <w:rPr>
                <w:sz w:val="20"/>
                <w:szCs w:val="20"/>
                <w:color w:val="auto"/>
              </w:rPr>
            </w:pPr>
            <w:r>
              <w:rPr>
                <w:rFonts w:ascii="Times New Roman" w:cs="Times New Roman" w:eastAsia="Times New Roman" w:hAnsi="Times New Roman"/>
                <w:sz w:val="14"/>
                <w:szCs w:val="14"/>
                <w:b w:val="1"/>
                <w:bCs w:val="1"/>
                <w:color w:val="auto"/>
              </w:rPr>
              <w:t>1311</w:t>
            </w:r>
          </w:p>
        </w:tc>
        <w:tc>
          <w:tcPr>
            <w:tcW w:w="1920" w:type="dxa"/>
            <w:vAlign w:val="bottom"/>
          </w:tcPr>
          <w:p>
            <w:pPr>
              <w:jc w:val="center"/>
              <w:ind w:left="508"/>
              <w:spacing w:after="0"/>
              <w:rPr>
                <w:sz w:val="20"/>
                <w:szCs w:val="20"/>
                <w:color w:val="auto"/>
              </w:rPr>
            </w:pPr>
            <w:r>
              <w:rPr>
                <w:rFonts w:ascii="Times New Roman" w:cs="Times New Roman" w:eastAsia="Times New Roman" w:hAnsi="Times New Roman"/>
                <w:sz w:val="14"/>
                <w:szCs w:val="14"/>
                <w:b w:val="1"/>
                <w:bCs w:val="1"/>
                <w:color w:val="auto"/>
              </w:rPr>
              <w:t>88-2227812</w:t>
            </w:r>
          </w:p>
        </w:tc>
      </w:tr>
      <w:tr>
        <w:trPr>
          <w:trHeight w:val="148"/>
        </w:trPr>
        <w:tc>
          <w:tcPr>
            <w:tcW w:w="2200" w:type="dxa"/>
            <w:vAlign w:val="bottom"/>
          </w:tcPr>
          <w:p>
            <w:pPr>
              <w:jc w:val="center"/>
              <w:ind w:right="408"/>
              <w:spacing w:after="0" w:line="149" w:lineRule="exact"/>
              <w:rPr>
                <w:sz w:val="20"/>
                <w:szCs w:val="20"/>
                <w:color w:val="auto"/>
              </w:rPr>
            </w:pPr>
            <w:r>
              <w:rPr>
                <w:rFonts w:ascii="Times New Roman" w:cs="Times New Roman" w:eastAsia="Times New Roman" w:hAnsi="Times New Roman"/>
                <w:sz w:val="14"/>
                <w:szCs w:val="14"/>
                <w:color w:val="auto"/>
              </w:rPr>
              <w:t>(State or other jurisdiction of</w:t>
            </w:r>
          </w:p>
        </w:tc>
        <w:tc>
          <w:tcPr>
            <w:tcW w:w="3340" w:type="dxa"/>
            <w:vAlign w:val="bottom"/>
          </w:tcPr>
          <w:p>
            <w:pPr>
              <w:jc w:val="center"/>
              <w:ind w:right="28"/>
              <w:spacing w:after="0" w:line="149" w:lineRule="exact"/>
              <w:rPr>
                <w:sz w:val="20"/>
                <w:szCs w:val="20"/>
                <w:color w:val="auto"/>
              </w:rPr>
            </w:pPr>
            <w:r>
              <w:rPr>
                <w:rFonts w:ascii="Times New Roman" w:cs="Times New Roman" w:eastAsia="Times New Roman" w:hAnsi="Times New Roman"/>
                <w:sz w:val="14"/>
                <w:szCs w:val="14"/>
                <w:color w:val="auto"/>
              </w:rPr>
              <w:t>(Primary Standard Industrial</w:t>
            </w:r>
          </w:p>
        </w:tc>
        <w:tc>
          <w:tcPr>
            <w:tcW w:w="1920" w:type="dxa"/>
            <w:vAlign w:val="bottom"/>
          </w:tcPr>
          <w:p>
            <w:pPr>
              <w:jc w:val="center"/>
              <w:ind w:left="508"/>
              <w:spacing w:after="0" w:line="149" w:lineRule="exact"/>
              <w:rPr>
                <w:sz w:val="20"/>
                <w:szCs w:val="20"/>
                <w:color w:val="auto"/>
              </w:rPr>
            </w:pPr>
            <w:r>
              <w:rPr>
                <w:rFonts w:ascii="Times New Roman" w:cs="Times New Roman" w:eastAsia="Times New Roman" w:hAnsi="Times New Roman"/>
                <w:sz w:val="14"/>
                <w:szCs w:val="14"/>
                <w:color w:val="auto"/>
              </w:rPr>
              <w:t>(I.R.S. Employer</w:t>
            </w:r>
          </w:p>
        </w:tc>
      </w:tr>
      <w:tr>
        <w:trPr>
          <w:trHeight w:val="188"/>
        </w:trPr>
        <w:tc>
          <w:tcPr>
            <w:tcW w:w="2200" w:type="dxa"/>
            <w:vAlign w:val="bottom"/>
          </w:tcPr>
          <w:p>
            <w:pPr>
              <w:jc w:val="center"/>
              <w:ind w:right="408"/>
              <w:spacing w:after="0"/>
              <w:rPr>
                <w:sz w:val="20"/>
                <w:szCs w:val="20"/>
                <w:color w:val="auto"/>
              </w:rPr>
            </w:pPr>
            <w:r>
              <w:rPr>
                <w:rFonts w:ascii="Times New Roman" w:cs="Times New Roman" w:eastAsia="Times New Roman" w:hAnsi="Times New Roman"/>
                <w:sz w:val="14"/>
                <w:szCs w:val="14"/>
                <w:color w:val="auto"/>
              </w:rPr>
              <w:t>incorporation or organization)</w:t>
            </w:r>
          </w:p>
        </w:tc>
        <w:tc>
          <w:tcPr>
            <w:tcW w:w="33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Classification Code Number)</w:t>
            </w:r>
          </w:p>
        </w:tc>
        <w:tc>
          <w:tcPr>
            <w:tcW w:w="1920" w:type="dxa"/>
            <w:vAlign w:val="bottom"/>
          </w:tcPr>
          <w:p>
            <w:pPr>
              <w:jc w:val="center"/>
              <w:ind w:left="508"/>
              <w:spacing w:after="0"/>
              <w:rPr>
                <w:sz w:val="20"/>
                <w:szCs w:val="20"/>
                <w:color w:val="auto"/>
              </w:rPr>
            </w:pPr>
            <w:r>
              <w:rPr>
                <w:rFonts w:ascii="Times New Roman" w:cs="Times New Roman" w:eastAsia="Times New Roman" w:hAnsi="Times New Roman"/>
                <w:sz w:val="14"/>
                <w:szCs w:val="14"/>
                <w:color w:val="auto"/>
              </w:rPr>
              <w:t>Identification Number)</w:t>
            </w:r>
          </w:p>
        </w:tc>
      </w:tr>
      <w:tr>
        <w:trPr>
          <w:trHeight w:val="323"/>
        </w:trPr>
        <w:tc>
          <w:tcPr>
            <w:tcW w:w="2200" w:type="dxa"/>
            <w:vAlign w:val="bottom"/>
          </w:tcPr>
          <w:p>
            <w:pPr>
              <w:spacing w:after="0"/>
              <w:rPr>
                <w:sz w:val="24"/>
                <w:szCs w:val="24"/>
                <w:color w:val="auto"/>
              </w:rPr>
            </w:pPr>
          </w:p>
        </w:tc>
        <w:tc>
          <w:tcPr>
            <w:tcW w:w="33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5217 McKinney Ave, Suite 400,</w:t>
            </w:r>
          </w:p>
        </w:tc>
        <w:tc>
          <w:tcPr>
            <w:tcW w:w="1920" w:type="dxa"/>
            <w:vAlign w:val="bottom"/>
          </w:tcPr>
          <w:p>
            <w:pPr>
              <w:spacing w:after="0"/>
              <w:rPr>
                <w:sz w:val="24"/>
                <w:szCs w:val="24"/>
                <w:color w:val="auto"/>
              </w:rPr>
            </w:pPr>
          </w:p>
        </w:tc>
      </w:tr>
      <w:tr>
        <w:trPr>
          <w:trHeight w:val="151"/>
        </w:trPr>
        <w:tc>
          <w:tcPr>
            <w:tcW w:w="2200" w:type="dxa"/>
            <w:vAlign w:val="bottom"/>
          </w:tcPr>
          <w:p>
            <w:pPr>
              <w:spacing w:after="0"/>
              <w:rPr>
                <w:sz w:val="13"/>
                <w:szCs w:val="13"/>
                <w:color w:val="auto"/>
              </w:rPr>
            </w:pPr>
          </w:p>
        </w:tc>
        <w:tc>
          <w:tcPr>
            <w:tcW w:w="3340" w:type="dxa"/>
            <w:vAlign w:val="bottom"/>
          </w:tcPr>
          <w:p>
            <w:pPr>
              <w:jc w:val="center"/>
              <w:ind w:right="28"/>
              <w:spacing w:after="0" w:line="151" w:lineRule="exact"/>
              <w:rPr>
                <w:sz w:val="20"/>
                <w:szCs w:val="20"/>
                <w:color w:val="auto"/>
              </w:rPr>
            </w:pPr>
            <w:r>
              <w:rPr>
                <w:rFonts w:ascii="Times New Roman" w:cs="Times New Roman" w:eastAsia="Times New Roman" w:hAnsi="Times New Roman"/>
                <w:sz w:val="14"/>
                <w:szCs w:val="14"/>
                <w:b w:val="1"/>
                <w:bCs w:val="1"/>
                <w:color w:val="auto"/>
              </w:rPr>
              <w:t>Dallas, TX 75205</w:t>
            </w:r>
          </w:p>
        </w:tc>
        <w:tc>
          <w:tcPr>
            <w:tcW w:w="1920" w:type="dxa"/>
            <w:vAlign w:val="bottom"/>
          </w:tcPr>
          <w:p>
            <w:pPr>
              <w:spacing w:after="0"/>
              <w:rPr>
                <w:sz w:val="13"/>
                <w:szCs w:val="13"/>
                <w:color w:val="auto"/>
              </w:rPr>
            </w:pPr>
          </w:p>
        </w:tc>
      </w:tr>
      <w:tr>
        <w:trPr>
          <w:trHeight w:val="173"/>
        </w:trPr>
        <w:tc>
          <w:tcPr>
            <w:tcW w:w="2200" w:type="dxa"/>
            <w:vAlign w:val="bottom"/>
          </w:tcPr>
          <w:p>
            <w:pPr>
              <w:spacing w:after="0"/>
              <w:rPr>
                <w:sz w:val="15"/>
                <w:szCs w:val="15"/>
                <w:color w:val="auto"/>
              </w:rPr>
            </w:pPr>
          </w:p>
        </w:tc>
        <w:tc>
          <w:tcPr>
            <w:tcW w:w="3340" w:type="dxa"/>
            <w:vAlign w:val="bottom"/>
          </w:tcPr>
          <w:p>
            <w:pPr>
              <w:jc w:val="center"/>
              <w:ind w:right="28"/>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920" w:type="dxa"/>
            <w:vAlign w:val="bottom"/>
          </w:tcPr>
          <w:p>
            <w:pPr>
              <w:spacing w:after="0"/>
              <w:rPr>
                <w:sz w:val="15"/>
                <w:szCs w:val="15"/>
                <w:color w:val="auto"/>
              </w:rPr>
            </w:pPr>
          </w:p>
        </w:tc>
      </w:tr>
      <w:tr>
        <w:trPr>
          <w:trHeight w:val="190"/>
        </w:trPr>
        <w:tc>
          <w:tcPr>
            <w:tcW w:w="2200" w:type="dxa"/>
            <w:vAlign w:val="bottom"/>
          </w:tcPr>
          <w:p>
            <w:pPr>
              <w:spacing w:after="0"/>
              <w:rPr>
                <w:sz w:val="16"/>
                <w:szCs w:val="16"/>
                <w:color w:val="auto"/>
              </w:rPr>
            </w:pPr>
          </w:p>
        </w:tc>
        <w:tc>
          <w:tcPr>
            <w:tcW w:w="3340" w:type="dxa"/>
            <w:vAlign w:val="bottom"/>
          </w:tcPr>
          <w:p>
            <w:pPr>
              <w:jc w:val="right"/>
              <w:ind w:right="1188"/>
              <w:spacing w:after="0"/>
              <w:rPr>
                <w:sz w:val="20"/>
                <w:szCs w:val="20"/>
                <w:color w:val="auto"/>
              </w:rPr>
            </w:pPr>
            <w:r>
              <w:rPr>
                <w:rFonts w:ascii="Times New Roman" w:cs="Times New Roman" w:eastAsia="Times New Roman" w:hAnsi="Times New Roman"/>
                <w:sz w:val="14"/>
                <w:szCs w:val="14"/>
                <w:b w:val="1"/>
                <w:bCs w:val="1"/>
                <w:color w:val="auto"/>
              </w:rPr>
              <w:t>(214) 396-2850</w:t>
            </w:r>
          </w:p>
        </w:tc>
        <w:tc>
          <w:tcPr>
            <w:tcW w:w="1920" w:type="dxa"/>
            <w:vAlign w:val="bottom"/>
          </w:tcPr>
          <w:p>
            <w:pPr>
              <w:spacing w:after="0"/>
              <w:rPr>
                <w:sz w:val="16"/>
                <w:szCs w:val="16"/>
                <w:color w:val="auto"/>
              </w:rPr>
            </w:pPr>
          </w:p>
        </w:tc>
      </w:tr>
    </w:tbl>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p>
      <w:pPr>
        <w:spacing w:after="0" w:line="1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former address and former fiscal year, if changed since last report)</w:t>
      </w:r>
    </w:p>
    <w:p>
      <w:pPr>
        <w:spacing w:after="0" w:line="120" w:lineRule="exact"/>
        <w:rPr>
          <w:sz w:val="24"/>
          <w:szCs w:val="24"/>
          <w:color w:val="auto"/>
        </w:rPr>
      </w:pPr>
    </w:p>
    <w:tbl>
      <w:tblPr>
        <w:tblLayout w:type="fixed"/>
        <w:tblInd w:w="40" w:type="dxa"/>
        <w:tblCellMar>
          <w:top w:w="0" w:type="dxa"/>
          <w:left w:w="0" w:type="dxa"/>
          <w:bottom w:w="0" w:type="dxa"/>
          <w:right w:w="0" w:type="dxa"/>
        </w:tblCellMar>
      </w:tblPr>
      <w:tr>
        <w:trPr>
          <w:trHeight w:val="188"/>
        </w:trPr>
        <w:tc>
          <w:tcPr>
            <w:tcW w:w="3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Securities registered pursuant to Section 12(b) of the Act:</w:t>
            </w: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tcPr>
          <w:p>
            <w:pPr>
              <w:spacing w:after="0"/>
              <w:rPr>
                <w:sz w:val="16"/>
                <w:szCs w:val="16"/>
                <w:color w:val="auto"/>
              </w:rPr>
            </w:pPr>
          </w:p>
        </w:tc>
      </w:tr>
      <w:tr>
        <w:trPr>
          <w:trHeight w:val="293"/>
        </w:trPr>
        <w:tc>
          <w:tcPr>
            <w:tcW w:w="348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25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 Symbol</w:t>
            </w:r>
          </w:p>
        </w:tc>
        <w:tc>
          <w:tcPr>
            <w:tcW w:w="2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19"/>
        </w:trPr>
        <w:tc>
          <w:tcPr>
            <w:tcW w:w="33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Common Stock, par value $0.0001 per share</w:t>
            </w:r>
          </w:p>
        </w:tc>
        <w:tc>
          <w:tcPr>
            <w:tcW w:w="160" w:type="dxa"/>
            <w:vAlign w:val="bottom"/>
          </w:tcPr>
          <w:p>
            <w:pPr>
              <w:spacing w:after="0"/>
              <w:rPr>
                <w:sz w:val="10"/>
                <w:szCs w:val="10"/>
                <w:color w:val="auto"/>
              </w:rPr>
            </w:pPr>
          </w:p>
        </w:tc>
        <w:tc>
          <w:tcPr>
            <w:tcW w:w="23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GRNT</w:t>
            </w:r>
          </w:p>
        </w:tc>
        <w:tc>
          <w:tcPr>
            <w:tcW w:w="160" w:type="dxa"/>
            <w:vAlign w:val="bottom"/>
          </w:tcPr>
          <w:p>
            <w:pPr>
              <w:spacing w:after="0"/>
              <w:rPr>
                <w:sz w:val="10"/>
                <w:szCs w:val="10"/>
                <w:color w:val="auto"/>
              </w:rPr>
            </w:pPr>
          </w:p>
        </w:tc>
        <w:tc>
          <w:tcPr>
            <w:tcW w:w="288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New York Stock Exchange</w:t>
            </w:r>
          </w:p>
        </w:tc>
      </w:tr>
      <w:tr>
        <w:trPr>
          <w:trHeight w:val="148"/>
        </w:trPr>
        <w:tc>
          <w:tcPr>
            <w:tcW w:w="3480" w:type="dxa"/>
            <w:vAlign w:val="bottom"/>
            <w:gridSpan w:val="2"/>
          </w:tcPr>
          <w:p>
            <w:pPr>
              <w:jc w:val="center"/>
              <w:ind w:right="160"/>
              <w:spacing w:after="0" w:line="149" w:lineRule="exact"/>
              <w:rPr>
                <w:sz w:val="20"/>
                <w:szCs w:val="20"/>
                <w:color w:val="auto"/>
              </w:rPr>
            </w:pPr>
            <w:r>
              <w:rPr>
                <w:rFonts w:ascii="Times New Roman" w:cs="Times New Roman" w:eastAsia="Times New Roman" w:hAnsi="Times New Roman"/>
                <w:sz w:val="14"/>
                <w:szCs w:val="14"/>
                <w:color w:val="auto"/>
              </w:rPr>
              <w:t>Warrants to purchase Common Stock, each whole</w:t>
            </w:r>
          </w:p>
        </w:tc>
        <w:tc>
          <w:tcPr>
            <w:tcW w:w="254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GRNT WS</w:t>
            </w:r>
          </w:p>
        </w:tc>
        <w:tc>
          <w:tcPr>
            <w:tcW w:w="28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New York Stock Exchange</w:t>
            </w:r>
          </w:p>
        </w:tc>
      </w:tr>
      <w:tr>
        <w:trPr>
          <w:trHeight w:val="148"/>
        </w:trPr>
        <w:tc>
          <w:tcPr>
            <w:tcW w:w="3480" w:type="dxa"/>
            <w:vAlign w:val="bottom"/>
            <w:gridSpan w:val="2"/>
          </w:tcPr>
          <w:p>
            <w:pPr>
              <w:jc w:val="center"/>
              <w:ind w:right="140"/>
              <w:spacing w:after="0" w:line="149" w:lineRule="exact"/>
              <w:rPr>
                <w:sz w:val="20"/>
                <w:szCs w:val="20"/>
                <w:color w:val="auto"/>
              </w:rPr>
            </w:pPr>
            <w:r>
              <w:rPr>
                <w:rFonts w:ascii="Times New Roman" w:cs="Times New Roman" w:eastAsia="Times New Roman" w:hAnsi="Times New Roman"/>
                <w:sz w:val="14"/>
                <w:szCs w:val="14"/>
                <w:color w:val="auto"/>
              </w:rPr>
              <w:t>warrant exercisable for one share of common stock at an</w:t>
            </w:r>
          </w:p>
        </w:tc>
        <w:tc>
          <w:tcPr>
            <w:tcW w:w="23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880" w:type="dxa"/>
            <w:vAlign w:val="bottom"/>
          </w:tcPr>
          <w:p>
            <w:pPr>
              <w:spacing w:after="0"/>
              <w:rPr>
                <w:sz w:val="12"/>
                <w:szCs w:val="12"/>
                <w:color w:val="auto"/>
              </w:rPr>
            </w:pPr>
          </w:p>
        </w:tc>
      </w:tr>
      <w:tr>
        <w:trPr>
          <w:trHeight w:val="188"/>
        </w:trPr>
        <w:tc>
          <w:tcPr>
            <w:tcW w:w="348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color w:val="auto"/>
              </w:rPr>
              <w:t>exercise price of $11.50 per share</w:t>
            </w:r>
          </w:p>
        </w:tc>
        <w:tc>
          <w:tcPr>
            <w:tcW w:w="2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880" w:type="dxa"/>
            <w:vAlign w:val="bottom"/>
          </w:tcPr>
          <w:p>
            <w:pPr>
              <w:spacing w:after="0"/>
              <w:rPr>
                <w:sz w:val="16"/>
                <w:szCs w:val="16"/>
                <w:color w:val="auto"/>
              </w:rPr>
            </w:pPr>
          </w:p>
        </w:tc>
      </w:tr>
    </w:tbl>
    <w:p>
      <w:pPr>
        <w:spacing w:after="0" w:line="109" w:lineRule="exact"/>
        <w:rPr>
          <w:sz w:val="24"/>
          <w:szCs w:val="24"/>
          <w:color w:val="auto"/>
        </w:rPr>
      </w:pPr>
    </w:p>
    <w:p>
      <w:pPr>
        <w:ind w:left="60" w:right="21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ind w:left="60"/>
        <w:spacing w:after="0" w:line="188" w:lineRule="exact"/>
        <w:rPr>
          <w:sz w:val="20"/>
          <w:szCs w:val="20"/>
          <w:color w:val="auto"/>
        </w:rPr>
      </w:pPr>
      <w:r>
        <w:rPr>
          <w:rFonts w:ascii="Times New Roman" w:cs="Times New Roman" w:eastAsia="Times New Roman" w:hAnsi="Times New Roman"/>
          <w:sz w:val="14"/>
          <w:szCs w:val="14"/>
          <w:color w:val="auto"/>
        </w:rPr>
        <w:t xml:space="preserve">requirements for the past 90 days.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31" w:lineRule="exact"/>
        <w:rPr>
          <w:sz w:val="24"/>
          <w:szCs w:val="24"/>
          <w:color w:val="auto"/>
        </w:rPr>
      </w:pPr>
    </w:p>
    <w:p>
      <w:pPr>
        <w:ind w:left="60" w:right="279"/>
        <w:spacing w:after="0" w:line="239" w:lineRule="auto"/>
        <w:rPr>
          <w:sz w:val="20"/>
          <w:szCs w:val="20"/>
          <w:color w:val="auto"/>
        </w:rPr>
      </w:pPr>
      <w:r>
        <w:rPr>
          <w:rFonts w:ascii="Times New Roman" w:cs="Times New Roman" w:eastAsia="Times New Roman" w:hAnsi="Times New Roman"/>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1" w:lineRule="exact"/>
        <w:rPr>
          <w:sz w:val="24"/>
          <w:szCs w:val="24"/>
          <w:color w:val="auto"/>
        </w:rPr>
      </w:pPr>
    </w:p>
    <w:p>
      <w:pPr>
        <w:ind w:left="60"/>
        <w:spacing w:after="0" w:line="188" w:lineRule="exact"/>
        <w:rPr>
          <w:sz w:val="20"/>
          <w:szCs w:val="20"/>
          <w:color w:val="auto"/>
        </w:rPr>
      </w:pPr>
      <w:r>
        <w:rPr>
          <w:rFonts w:ascii="Times New Roman" w:cs="Times New Roman" w:eastAsia="Times New Roman" w:hAnsi="Times New Roman"/>
          <w:sz w:val="14"/>
          <w:szCs w:val="14"/>
          <w:color w:val="auto"/>
        </w:rPr>
        <w:t xml:space="preserve">files).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p>
    <w:p>
      <w:pPr>
        <w:spacing w:after="0" w:line="45" w:lineRule="exact"/>
        <w:rPr>
          <w:sz w:val="24"/>
          <w:szCs w:val="24"/>
          <w:color w:val="auto"/>
        </w:rPr>
      </w:pPr>
    </w:p>
    <w:p>
      <w:pPr>
        <w:ind w:left="60" w:right="239"/>
        <w:spacing w:after="0" w:line="24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019"/>
          </w:cols>
          <w:pgMar w:left="1440" w:top="661" w:right="1440" w:bottom="1440" w:gutter="0" w:footer="0" w:header="0"/>
        </w:sectPr>
      </w:pPr>
    </w:p>
    <w:p>
      <w:pPr>
        <w:spacing w:after="0" w:line="248" w:lineRule="exact"/>
        <w:rPr>
          <w:sz w:val="24"/>
          <w:szCs w:val="24"/>
          <w:color w:val="auto"/>
        </w:rPr>
      </w:pPr>
    </w:p>
    <w:p>
      <w:pPr>
        <w:ind w:left="700"/>
        <w:spacing w:after="0" w:line="188" w:lineRule="exact"/>
        <w:rPr>
          <w:sz w:val="20"/>
          <w:szCs w:val="20"/>
          <w:color w:val="auto"/>
        </w:rPr>
      </w:pPr>
      <w:r>
        <w:rPr>
          <w:rFonts w:ascii="Times New Roman" w:cs="Times New Roman" w:eastAsia="Times New Roman" w:hAnsi="Times New Roman"/>
          <w:sz w:val="14"/>
          <w:szCs w:val="14"/>
          <w:color w:val="auto"/>
        </w:rPr>
        <w:t xml:space="preserve">Large 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spacing w:after="0" w:line="188" w:lineRule="exact"/>
        <w:rPr>
          <w:sz w:val="20"/>
          <w:szCs w:val="20"/>
          <w:color w:val="auto"/>
        </w:rPr>
      </w:pPr>
      <w:r>
        <w:rPr>
          <w:rFonts w:ascii="Times New Roman" w:cs="Times New Roman" w:eastAsia="Times New Roman" w:hAnsi="Times New Roman"/>
          <w:sz w:val="14"/>
          <w:szCs w:val="14"/>
          <w:color w:val="auto"/>
        </w:rPr>
        <w:t xml:space="preserve">Non-accelerated filer </w:t>
      </w:r>
      <w:r>
        <w:rPr>
          <w:rFonts w:ascii="Arial Unicode MS" w:cs="Arial Unicode MS" w:eastAsia="Arial Unicode MS" w:hAnsi="Arial Unicode MS"/>
          <w:sz w:val="14"/>
          <w:szCs w:val="14"/>
          <w:color w:val="auto"/>
        </w:rPr>
        <w:t>⌧</w:t>
      </w:r>
    </w:p>
    <w:p>
      <w:pPr>
        <w:spacing w:after="0" w:line="20" w:lineRule="exact"/>
        <w:rPr>
          <w:sz w:val="24"/>
          <w:szCs w:val="24"/>
          <w:color w:val="auto"/>
        </w:rPr>
      </w:pPr>
      <w:r>
        <w:rPr>
          <w:sz w:val="24"/>
          <w:szCs w:val="24"/>
          <w:color w:val="auto"/>
        </w:rPr>
        <w:br w:type="column"/>
      </w:r>
    </w:p>
    <w:p>
      <w:pPr>
        <w:spacing w:after="0" w:line="228" w:lineRule="exact"/>
        <w:rPr>
          <w:sz w:val="24"/>
          <w:szCs w:val="24"/>
          <w:color w:val="auto"/>
        </w:rPr>
      </w:pPr>
    </w:p>
    <w:p>
      <w:pPr>
        <w:jc w:val="both"/>
        <w:ind w:right="79" w:hanging="1"/>
        <w:spacing w:after="0" w:line="201" w:lineRule="exact"/>
        <w:rPr>
          <w:sz w:val="20"/>
          <w:szCs w:val="20"/>
          <w:color w:val="auto"/>
        </w:rPr>
      </w:pPr>
      <w:r>
        <w:rPr>
          <w:rFonts w:ascii="Times New Roman" w:cs="Times New Roman" w:eastAsia="Times New Roman" w:hAnsi="Times New Roman"/>
          <w:sz w:val="14"/>
          <w:szCs w:val="14"/>
          <w:color w:val="auto"/>
        </w:rPr>
        <w:t xml:space="preserve">Smaller reporting company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Emerging growth company </w:t>
      </w:r>
      <w:r>
        <w:rPr>
          <w:rFonts w:ascii="Arial Unicode MS" w:cs="Arial Unicode MS" w:eastAsia="Arial Unicode MS" w:hAnsi="Arial Unicode MS"/>
          <w:sz w:val="14"/>
          <w:szCs w:val="14"/>
          <w:color w:val="auto"/>
        </w:rPr>
        <w:t>☒</w:t>
      </w:r>
    </w:p>
    <w:p>
      <w:pPr>
        <w:spacing w:after="0" w:line="177" w:lineRule="exact"/>
        <w:rPr>
          <w:sz w:val="24"/>
          <w:szCs w:val="24"/>
          <w:color w:val="auto"/>
        </w:rPr>
      </w:pPr>
    </w:p>
    <w:p>
      <w:pPr>
        <w:sectPr>
          <w:pgSz w:w="11900" w:h="16838" w:orient="portrait"/>
          <w:cols w:equalWidth="0" w:num="4">
            <w:col w:w="2160" w:space="600"/>
            <w:col w:w="1180" w:space="720"/>
            <w:col w:w="1820" w:space="720"/>
            <w:col w:w="1819"/>
          </w:cols>
          <w:pgMar w:left="1440" w:top="661" w:right="1440" w:bottom="1440" w:gutter="0" w:footer="0" w:header="0"/>
          <w:type w:val="continuous"/>
        </w:sectPr>
      </w:pPr>
    </w:p>
    <w:p>
      <w:pPr>
        <w:ind w:left="60" w:right="119"/>
        <w:spacing w:after="0" w:line="182"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4"/>
          <w:szCs w:val="14"/>
          <w:color w:val="auto"/>
        </w:rPr>
        <w:t>☐</w:t>
      </w:r>
    </w:p>
    <w:p>
      <w:pPr>
        <w:spacing w:after="0" w:line="19" w:lineRule="exact"/>
        <w:rPr>
          <w:sz w:val="24"/>
          <w:szCs w:val="24"/>
          <w:color w:val="auto"/>
        </w:rPr>
      </w:pPr>
    </w:p>
    <w:p>
      <w:pPr>
        <w:ind w:left="60" w:right="2199"/>
        <w:spacing w:after="0" w:line="261" w:lineRule="exact"/>
        <w:rPr>
          <w:sz w:val="20"/>
          <w:szCs w:val="20"/>
          <w:color w:val="auto"/>
        </w:rPr>
      </w:pPr>
      <w:r>
        <w:rPr>
          <w:rFonts w:ascii="Times New Roman" w:cs="Times New Roman" w:eastAsia="Times New Roman" w:hAnsi="Times New Roman"/>
          <w:sz w:val="14"/>
          <w:szCs w:val="14"/>
          <w:color w:val="auto"/>
        </w:rPr>
        <w:t xml:space="preserve">Indicate by check mark whether the registrant is a shell company (as defined in Rule 12b-2 of the Act). Yes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No </w:t>
      </w:r>
      <w:r>
        <w:rPr>
          <w:rFonts w:ascii="Arial Unicode MS" w:cs="Arial Unicode MS" w:eastAsia="Arial Unicode MS" w:hAnsi="Arial Unicode MS"/>
          <w:sz w:val="14"/>
          <w:szCs w:val="14"/>
          <w:color w:val="auto"/>
        </w:rPr>
        <w:t>⌧</w:t>
      </w:r>
      <w:r>
        <w:rPr>
          <w:rFonts w:ascii="Times New Roman" w:cs="Times New Roman" w:eastAsia="Times New Roman" w:hAnsi="Times New Roman"/>
          <w:sz w:val="14"/>
          <w:szCs w:val="14"/>
          <w:color w:val="auto"/>
        </w:rPr>
        <w:t xml:space="preserve"> At November 10, 2022, there were 133,294,897 shares of our common stock, par value $0.0001,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546735</wp:posOffset>
            </wp:positionV>
            <wp:extent cx="565785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1714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127000</wp:posOffset>
            </wp:positionV>
            <wp:extent cx="565785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8255"/>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169545</wp:posOffset>
            </wp:positionV>
            <wp:extent cx="5657850"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type w:val="continuous"/>
        </w:sectPr>
      </w:pPr>
    </w:p>
    <w:bookmarkStart w:id="1" w:name="page2"/>
    <w:bookmarkEnd w:id="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financial statements covered in this Quarterly Report on Form 10-Q of Granite Ridge Resources, Inc. (“Granite Ridge”) present the financial condition and results of operations of Granite Ridge’s predecessor, Grey Rock Energy Fund III-A, LP and its subsidiaries, Grey Rock Energy Fund III-B, LP, Grey Rock Energy Fund III-B Holdings, L.P. and its subsidiaries, and Grey Rock Preferred Limited Partner III, L.P. (collectively, “Grey Rock Energy Fund III” or the “Predecessor”), which operated the majority of the historical business and was identified as the acquirer and predecessor upon consummation of the business combination on October 24, 2022.</w:t>
      </w:r>
    </w:p>
    <w:p>
      <w:pPr>
        <w:spacing w:after="0" w:line="187"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Granite Ridge did not conduct any activity prior to the business combination and the Predecessor became a subsidiary of Granite Ridge upon closing of the various formation transactions completed concurrently with the business combination. The information provided in this Quarterly Report on Form 10-Q only reflects the financial condition and results of operations of the Predecessor as of September 30, 2022 and December 31, 2021 and for the three and nine months ended September 30, 2022 and 2021. Because the business combination was completed subsequent to the end of the period covered by this Quarterly Report on Form 10-Q, the information provided herein regarding the Predecessor does not include financial or other information regarding the other entities who were parties to the business combination or whose assets became part of the business combination, including Executive Network Partnering Corporation, Grey Rock Energy Fund, LP and its subsidiaries, Grey Rock Energy Fund II, L.P. and its subsidiaries, Grey Rock Energy Fund II-B, LP, Grey Rock Energy Fund II-B Holdings, L.P. and its subsidiaries, and Grey Rock Preferred Limited Partner II, L.P. The condensed combined financial data for the Predecessor is not necessarily indicative of Granite Ridge’s results of operations, cash flows or financial position following the completion of the business combination and related formation transactions.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 w:name="page3"/>
    <w:bookmarkEnd w:id="2"/>
    <w:tbl>
      <w:tblPr>
        <w:tblLayout w:type="fixed"/>
        <w:tblInd w:w="60" w:type="dxa"/>
        <w:tblCellMar>
          <w:top w:w="0" w:type="dxa"/>
          <w:left w:w="0" w:type="dxa"/>
          <w:bottom w:w="0" w:type="dxa"/>
          <w:right w:w="0" w:type="dxa"/>
        </w:tblCellMar>
      </w:tblPr>
      <w:tr>
        <w:trPr>
          <w:trHeight w:val="207"/>
        </w:trPr>
        <w:tc>
          <w:tcPr>
            <w:tcW w:w="7920" w:type="dxa"/>
            <w:vAlign w:val="bottom"/>
            <w:gridSpan w:val="23"/>
          </w:tcPr>
          <w:p>
            <w:pPr>
              <w:spacing w:after="0"/>
              <w:rPr>
                <w:sz w:val="20"/>
                <w:szCs w:val="20"/>
                <w:color w:val="auto"/>
              </w:rPr>
            </w:pPr>
            <w:r>
              <w:rPr>
                <w:rFonts w:ascii="Times New Roman" w:cs="Times New Roman" w:eastAsia="Times New Roman" w:hAnsi="Times New Roman"/>
                <w:sz w:val="18"/>
                <w:szCs w:val="18"/>
                <w:color w:val="0000EE"/>
              </w:rPr>
              <w:t>Table of Contents</w:t>
            </w:r>
          </w:p>
        </w:tc>
        <w:tc>
          <w:tcPr>
            <w:tcW w:w="9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5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600" w:type="dxa"/>
            <w:vAlign w:val="bottom"/>
            <w:gridSpan w:val="10"/>
          </w:tcPr>
          <w:p>
            <w:pPr>
              <w:ind w:left="16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8"/>
        </w:trPr>
        <w:tc>
          <w:tcPr>
            <w:tcW w:w="3120" w:type="dxa"/>
            <w:vAlign w:val="bottom"/>
            <w:gridSpan w:val="12"/>
            <w:vMerge w:val="restart"/>
          </w:tcPr>
          <w:p>
            <w:pPr>
              <w:spacing w:after="0"/>
              <w:rPr>
                <w:sz w:val="20"/>
                <w:szCs w:val="20"/>
                <w:color w:val="auto"/>
              </w:rPr>
            </w:pPr>
            <w:r>
              <w:rPr>
                <w:rFonts w:ascii="Times New Roman" w:cs="Times New Roman" w:eastAsia="Times New Roman" w:hAnsi="Times New Roman"/>
                <w:sz w:val="18"/>
                <w:szCs w:val="18"/>
                <w:b w:val="1"/>
                <w:bCs w:val="1"/>
                <w:color w:val="0000EE"/>
                <w:w w:val="98"/>
              </w:rPr>
              <w:t>PART I - FINANCIAL INFORMATION</w:t>
            </w:r>
          </w:p>
        </w:tc>
        <w:tc>
          <w:tcPr>
            <w:tcW w:w="4800" w:type="dxa"/>
            <w:vAlign w:val="bottom"/>
            <w:gridSpan w:val="11"/>
            <w:vMerge w:val="restart"/>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PAGE</w:t>
            </w:r>
          </w:p>
        </w:tc>
        <w:tc>
          <w:tcPr>
            <w:tcW w:w="0" w:type="dxa"/>
            <w:vAlign w:val="bottom"/>
          </w:tcPr>
          <w:p>
            <w:pPr>
              <w:spacing w:after="0"/>
              <w:rPr>
                <w:sz w:val="1"/>
                <w:szCs w:val="1"/>
                <w:color w:val="auto"/>
              </w:rPr>
            </w:pPr>
          </w:p>
        </w:tc>
      </w:tr>
      <w:tr>
        <w:trPr>
          <w:trHeight w:val="180"/>
        </w:trPr>
        <w:tc>
          <w:tcPr>
            <w:tcW w:w="3120" w:type="dxa"/>
            <w:vAlign w:val="bottom"/>
            <w:tcBorders>
              <w:bottom w:val="single" w:sz="8" w:color="0000EE"/>
            </w:tcBorders>
            <w:gridSpan w:val="12"/>
            <w:vMerge w:val="continue"/>
          </w:tcPr>
          <w:p>
            <w:pPr>
              <w:spacing w:after="0"/>
              <w:rPr>
                <w:sz w:val="15"/>
                <w:szCs w:val="15"/>
                <w:color w:val="auto"/>
              </w:rPr>
            </w:pPr>
          </w:p>
        </w:tc>
        <w:tc>
          <w:tcPr>
            <w:tcW w:w="4800" w:type="dxa"/>
            <w:vAlign w:val="bottom"/>
            <w:gridSpan w:val="11"/>
            <w:vMerge w:val="continue"/>
          </w:tcPr>
          <w:p>
            <w:pPr>
              <w:spacing w:after="0"/>
              <w:rPr>
                <w:sz w:val="15"/>
                <w:szCs w:val="15"/>
                <w:color w:val="auto"/>
              </w:rPr>
            </w:pPr>
          </w:p>
        </w:tc>
        <w:tc>
          <w:tcPr>
            <w:tcW w:w="9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2"/>
        </w:trPr>
        <w:tc>
          <w:tcPr>
            <w:tcW w:w="1000" w:type="dxa"/>
            <w:vAlign w:val="bottom"/>
            <w:gridSpan w:val="5"/>
          </w:tcPr>
          <w:p>
            <w:pPr>
              <w:spacing w:after="0"/>
              <w:rPr>
                <w:sz w:val="20"/>
                <w:szCs w:val="20"/>
                <w:color w:val="auto"/>
              </w:rPr>
            </w:pPr>
            <w:r>
              <w:rPr>
                <w:rFonts w:ascii="Times New Roman" w:cs="Times New Roman" w:eastAsia="Times New Roman" w:hAnsi="Times New Roman"/>
                <w:sz w:val="18"/>
                <w:szCs w:val="18"/>
                <w:color w:val="0000EE"/>
              </w:rPr>
              <w:t>Item 1.</w:t>
            </w:r>
          </w:p>
        </w:tc>
        <w:tc>
          <w:tcPr>
            <w:tcW w:w="69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 xml:space="preserve">Condensed Combined Financial Statements (Unaudited) </w:t>
            </w:r>
            <w:r>
              <w:rPr>
                <w:rFonts w:ascii="Times New Roman" w:cs="Times New Roman" w:eastAsia="Times New Roman" w:hAnsi="Times New Roman"/>
                <w:sz w:val="18"/>
                <w:szCs w:val="18"/>
                <w:color w:val="000000"/>
              </w:rPr>
              <w:t>(Predecessor)</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196"/>
        </w:trPr>
        <w:tc>
          <w:tcPr>
            <w:tcW w:w="50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6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Condensed Combined Balance Sheets (Unaudited)</w:t>
            </w:r>
          </w:p>
        </w:tc>
        <w:tc>
          <w:tcPr>
            <w:tcW w:w="2860" w:type="dxa"/>
            <w:vAlign w:val="bottom"/>
            <w:gridSpan w:val="8"/>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320" w:type="dxa"/>
            <w:vAlign w:val="bottom"/>
            <w:shd w:val="clear" w:color="auto" w:fill="0000EE"/>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120" w:type="dxa"/>
            <w:vAlign w:val="bottom"/>
            <w:tcBorders>
              <w:bottom w:val="single" w:sz="8" w:color="0000EE"/>
            </w:tcBorders>
            <w:gridSpan w:val="11"/>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Combined Statements of Income (Unaudited)</w:t>
            </w:r>
          </w:p>
        </w:tc>
        <w:tc>
          <w:tcPr>
            <w:tcW w:w="2800" w:type="dxa"/>
            <w:vAlign w:val="bottom"/>
            <w:gridSpan w:val="7"/>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Condensed Combined Statements of Changes in Partners’ Capital (Unaudited)</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40" w:type="dxa"/>
            <w:vAlign w:val="bottom"/>
            <w:tcBorders>
              <w:top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rPr>
              <w:t>Condensed Combined Statements of Cash Flows (Unaudited)</w:t>
            </w:r>
          </w:p>
        </w:tc>
        <w:tc>
          <w:tcPr>
            <w:tcW w:w="1280" w:type="dxa"/>
            <w:vAlign w:val="bottom"/>
            <w:gridSpan w:val="2"/>
          </w:tcPr>
          <w:p>
            <w:pPr>
              <w:spacing w:after="0"/>
              <w:rPr>
                <w:sz w:val="17"/>
                <w:szCs w:val="17"/>
                <w:color w:val="auto"/>
              </w:rPr>
            </w:pP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920" w:type="dxa"/>
            <w:vAlign w:val="bottom"/>
            <w:gridSpan w:val="18"/>
          </w:tcPr>
          <w:p>
            <w:pPr>
              <w:spacing w:after="0" w:line="196" w:lineRule="exact"/>
              <w:rPr>
                <w:sz w:val="20"/>
                <w:szCs w:val="20"/>
                <w:color w:val="auto"/>
              </w:rPr>
            </w:pPr>
            <w:r>
              <w:rPr>
                <w:rFonts w:ascii="Times New Roman" w:cs="Times New Roman" w:eastAsia="Times New Roman" w:hAnsi="Times New Roman"/>
                <w:sz w:val="18"/>
                <w:szCs w:val="18"/>
                <w:color w:val="0000EE"/>
              </w:rPr>
              <w:t>Notes to Condensed Combined Financial Statements (Unaudited)</w:t>
            </w:r>
          </w:p>
        </w:tc>
        <w:tc>
          <w:tcPr>
            <w:tcW w:w="98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5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980" w:type="dxa"/>
            <w:vAlign w:val="bottom"/>
            <w:gridSpan w:val="4"/>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7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52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480" w:type="dxa"/>
            <w:vAlign w:val="bottom"/>
            <w:gridSpan w:val="3"/>
          </w:tcPr>
          <w:p>
            <w:pPr>
              <w:spacing w:after="0"/>
              <w:rPr>
                <w:sz w:val="24"/>
                <w:szCs w:val="24"/>
                <w:color w:val="auto"/>
              </w:rPr>
            </w:pPr>
          </w:p>
        </w:tc>
        <w:tc>
          <w:tcPr>
            <w:tcW w:w="646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412"/>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480" w:type="dxa"/>
            <w:vAlign w:val="bottom"/>
            <w:gridSpan w:val="3"/>
          </w:tcPr>
          <w:p>
            <w:pPr>
              <w:spacing w:after="0"/>
              <w:rPr>
                <w:sz w:val="24"/>
                <w:szCs w:val="24"/>
                <w:color w:val="auto"/>
              </w:rPr>
            </w:pPr>
          </w:p>
        </w:tc>
        <w:tc>
          <w:tcPr>
            <w:tcW w:w="69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480" w:type="dxa"/>
            <w:vAlign w:val="bottom"/>
            <w:gridSpan w:val="3"/>
          </w:tcPr>
          <w:p>
            <w:pPr>
              <w:spacing w:after="0"/>
              <w:rPr>
                <w:sz w:val="24"/>
                <w:szCs w:val="24"/>
                <w:color w:val="auto"/>
              </w:rPr>
            </w:pPr>
          </w:p>
        </w:tc>
        <w:tc>
          <w:tcPr>
            <w:tcW w:w="4300" w:type="dxa"/>
            <w:vAlign w:val="bottom"/>
            <w:tcBorders>
              <w:top w:val="single" w:sz="8" w:color="0000EE"/>
            </w:tcBorders>
            <w:gridSpan w:val="12"/>
          </w:tcPr>
          <w:p>
            <w:pPr>
              <w:spacing w:after="0"/>
              <w:rPr>
                <w:sz w:val="20"/>
                <w:szCs w:val="20"/>
                <w:color w:val="auto"/>
              </w:rPr>
            </w:pPr>
            <w:r>
              <w:rPr>
                <w:rFonts w:ascii="Times New Roman" w:cs="Times New Roman" w:eastAsia="Times New Roman" w:hAnsi="Times New Roman"/>
                <w:sz w:val="18"/>
                <w:szCs w:val="18"/>
                <w:color w:val="0000EE"/>
              </w:rPr>
              <w:t>Controls and Procedures</w:t>
            </w:r>
          </w:p>
        </w:tc>
        <w:tc>
          <w:tcPr>
            <w:tcW w:w="2620" w:type="dxa"/>
            <w:vAlign w:val="bottom"/>
            <w:gridSpan w:val="6"/>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5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282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8"/>
                <w:szCs w:val="18"/>
                <w:b w:val="1"/>
                <w:bCs w:val="1"/>
                <w:color w:val="0000EE"/>
                <w:w w:val="97"/>
              </w:rPr>
              <w:t>PART II - OTHER INFORMATION</w:t>
            </w:r>
          </w:p>
        </w:tc>
        <w:tc>
          <w:tcPr>
            <w:tcW w:w="5100" w:type="dxa"/>
            <w:vAlign w:val="bottom"/>
            <w:gridSpan w:val="12"/>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12"/>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1.</w:t>
            </w:r>
          </w:p>
        </w:tc>
        <w:tc>
          <w:tcPr>
            <w:tcW w:w="480" w:type="dxa"/>
            <w:vAlign w:val="bottom"/>
            <w:gridSpan w:val="3"/>
          </w:tcPr>
          <w:p>
            <w:pPr>
              <w:spacing w:after="0"/>
              <w:rPr>
                <w:sz w:val="24"/>
                <w:szCs w:val="24"/>
                <w:color w:val="auto"/>
              </w:rPr>
            </w:pPr>
          </w:p>
        </w:tc>
        <w:tc>
          <w:tcPr>
            <w:tcW w:w="69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Legal Proceedings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20"/>
        </w:trPr>
        <w:tc>
          <w:tcPr>
            <w:tcW w:w="52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5"/>
          </w:tcPr>
          <w:p>
            <w:pPr>
              <w:spacing w:after="0" w:line="20" w:lineRule="exact"/>
              <w:rPr>
                <w:sz w:val="1"/>
                <w:szCs w:val="1"/>
                <w:color w:val="auto"/>
              </w:rPr>
            </w:pPr>
          </w:p>
        </w:tc>
        <w:tc>
          <w:tcPr>
            <w:tcW w:w="2580" w:type="dxa"/>
            <w:vAlign w:val="bottom"/>
            <w:gridSpan w:val="5"/>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64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6"/>
              </w:rPr>
              <w:t>Item 1A.</w:t>
            </w:r>
          </w:p>
        </w:tc>
        <w:tc>
          <w:tcPr>
            <w:tcW w:w="360" w:type="dxa"/>
            <w:vAlign w:val="bottom"/>
            <w:gridSpan w:val="2"/>
          </w:tcPr>
          <w:p>
            <w:pPr>
              <w:spacing w:after="0"/>
              <w:rPr>
                <w:sz w:val="24"/>
                <w:szCs w:val="24"/>
                <w:color w:val="auto"/>
              </w:rPr>
            </w:pPr>
          </w:p>
        </w:tc>
        <w:tc>
          <w:tcPr>
            <w:tcW w:w="900" w:type="dxa"/>
            <w:vAlign w:val="bottom"/>
            <w:tcBorders>
              <w:bottom w:val="single" w:sz="8" w:color="0000EE"/>
            </w:tcBorders>
            <w:gridSpan w:val="3"/>
          </w:tcPr>
          <w:p>
            <w:pPr>
              <w:spacing w:after="0"/>
              <w:rPr>
                <w:sz w:val="20"/>
                <w:szCs w:val="20"/>
                <w:color w:val="auto"/>
              </w:rPr>
            </w:pPr>
            <w:r>
              <w:rPr>
                <w:rFonts w:ascii="Times New Roman" w:cs="Times New Roman" w:eastAsia="Times New Roman" w:hAnsi="Times New Roman"/>
                <w:sz w:val="18"/>
                <w:szCs w:val="18"/>
                <w:color w:val="0000EE"/>
                <w:w w:val="97"/>
              </w:rPr>
              <w:t>Risk Factors</w:t>
            </w:r>
          </w:p>
        </w:tc>
        <w:tc>
          <w:tcPr>
            <w:tcW w:w="6020" w:type="dxa"/>
            <w:vAlign w:val="bottom"/>
            <w:gridSpan w:val="15"/>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12"/>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2.</w:t>
            </w:r>
          </w:p>
        </w:tc>
        <w:tc>
          <w:tcPr>
            <w:tcW w:w="480" w:type="dxa"/>
            <w:vAlign w:val="bottom"/>
            <w:gridSpan w:val="3"/>
          </w:tcPr>
          <w:p>
            <w:pPr>
              <w:spacing w:after="0"/>
              <w:rPr>
                <w:sz w:val="24"/>
                <w:szCs w:val="24"/>
                <w:color w:val="auto"/>
              </w:rPr>
            </w:pPr>
          </w:p>
        </w:tc>
        <w:tc>
          <w:tcPr>
            <w:tcW w:w="69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3.</w:t>
            </w:r>
          </w:p>
        </w:tc>
        <w:tc>
          <w:tcPr>
            <w:tcW w:w="480" w:type="dxa"/>
            <w:vAlign w:val="bottom"/>
            <w:gridSpan w:val="3"/>
          </w:tcPr>
          <w:p>
            <w:pPr>
              <w:spacing w:after="0"/>
              <w:rPr>
                <w:sz w:val="24"/>
                <w:szCs w:val="24"/>
                <w:color w:val="auto"/>
              </w:rPr>
            </w:pPr>
          </w:p>
        </w:tc>
        <w:tc>
          <w:tcPr>
            <w:tcW w:w="2320" w:type="dxa"/>
            <w:vAlign w:val="bottom"/>
            <w:tcBorders>
              <w:top w:val="single" w:sz="8" w:color="0000EE"/>
              <w:bottom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0000EE"/>
                <w:w w:val="98"/>
              </w:rPr>
              <w:t>Defaults Upon Senior Securities</w:t>
            </w:r>
          </w:p>
        </w:tc>
        <w:tc>
          <w:tcPr>
            <w:tcW w:w="2020" w:type="dxa"/>
            <w:vAlign w:val="bottom"/>
            <w:tcBorders>
              <w:top w:val="single" w:sz="8" w:color="0000EE"/>
            </w:tcBorders>
            <w:gridSpan w:val="5"/>
          </w:tcPr>
          <w:p>
            <w:pPr>
              <w:spacing w:after="0"/>
              <w:rPr>
                <w:sz w:val="24"/>
                <w:szCs w:val="24"/>
                <w:color w:val="auto"/>
              </w:rPr>
            </w:pPr>
          </w:p>
        </w:tc>
        <w:tc>
          <w:tcPr>
            <w:tcW w:w="2580" w:type="dxa"/>
            <w:vAlign w:val="bottom"/>
            <w:gridSpan w:val="5"/>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12"/>
        </w:trPr>
        <w:tc>
          <w:tcPr>
            <w:tcW w:w="520" w:type="dxa"/>
            <w:vAlign w:val="bottom"/>
            <w:gridSpan w:val="2"/>
          </w:tcPr>
          <w:p>
            <w:pPr>
              <w:spacing w:after="0"/>
              <w:rPr>
                <w:sz w:val="20"/>
                <w:szCs w:val="20"/>
                <w:color w:val="auto"/>
              </w:rPr>
            </w:pPr>
            <w:r>
              <w:rPr>
                <w:rFonts w:ascii="Times New Roman" w:cs="Times New Roman" w:eastAsia="Times New Roman" w:hAnsi="Times New Roman"/>
                <w:sz w:val="18"/>
                <w:szCs w:val="18"/>
                <w:color w:val="0000EE"/>
                <w:w w:val="97"/>
              </w:rPr>
              <w:t>Item 4.</w:t>
            </w:r>
          </w:p>
        </w:tc>
        <w:tc>
          <w:tcPr>
            <w:tcW w:w="480" w:type="dxa"/>
            <w:vAlign w:val="bottom"/>
            <w:gridSpan w:val="3"/>
          </w:tcPr>
          <w:p>
            <w:pPr>
              <w:spacing w:after="0"/>
              <w:rPr>
                <w:sz w:val="24"/>
                <w:szCs w:val="24"/>
                <w:color w:val="auto"/>
              </w:rPr>
            </w:pPr>
          </w:p>
        </w:tc>
        <w:tc>
          <w:tcPr>
            <w:tcW w:w="6920" w:type="dxa"/>
            <w:vAlign w:val="bottom"/>
            <w:gridSpan w:val="18"/>
          </w:tcPr>
          <w:p>
            <w:pPr>
              <w:spacing w:after="0"/>
              <w:rPr>
                <w:sz w:val="20"/>
                <w:szCs w:val="20"/>
                <w:color w:val="auto"/>
              </w:rPr>
            </w:pPr>
            <w:r>
              <w:rPr>
                <w:rFonts w:ascii="Times New Roman" w:cs="Times New Roman" w:eastAsia="Times New Roman" w:hAnsi="Times New Roman"/>
                <w:sz w:val="18"/>
                <w:szCs w:val="18"/>
                <w:color w:val="0000EE"/>
              </w:rPr>
              <w:t>Mine Safety Disclosures</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5.</w:t>
            </w:r>
          </w:p>
        </w:tc>
        <w:tc>
          <w:tcPr>
            <w:tcW w:w="480" w:type="dxa"/>
            <w:vAlign w:val="bottom"/>
            <w:gridSpan w:val="3"/>
          </w:tcPr>
          <w:p>
            <w:pPr>
              <w:spacing w:after="0"/>
              <w:rPr>
                <w:sz w:val="24"/>
                <w:szCs w:val="24"/>
                <w:color w:val="auto"/>
              </w:rPr>
            </w:pPr>
          </w:p>
        </w:tc>
        <w:tc>
          <w:tcPr>
            <w:tcW w:w="176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rPr>
              <w:t>Other Information</w:t>
            </w:r>
          </w:p>
        </w:tc>
        <w:tc>
          <w:tcPr>
            <w:tcW w:w="5160" w:type="dxa"/>
            <w:vAlign w:val="bottom"/>
            <w:gridSpan w:val="13"/>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12"/>
        </w:trPr>
        <w:tc>
          <w:tcPr>
            <w:tcW w:w="52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7"/>
              </w:rPr>
              <w:t>Item 6.</w:t>
            </w:r>
          </w:p>
        </w:tc>
        <w:tc>
          <w:tcPr>
            <w:tcW w:w="480" w:type="dxa"/>
            <w:vAlign w:val="bottom"/>
            <w:gridSpan w:val="3"/>
          </w:tcPr>
          <w:p>
            <w:pPr>
              <w:spacing w:after="0"/>
              <w:rPr>
                <w:sz w:val="24"/>
                <w:szCs w:val="24"/>
                <w:color w:val="auto"/>
              </w:rPr>
            </w:pPr>
          </w:p>
        </w:tc>
        <w:tc>
          <w:tcPr>
            <w:tcW w:w="600" w:type="dxa"/>
            <w:vAlign w:val="bottom"/>
            <w:tcBorders>
              <w:top w:val="single" w:sz="8" w:color="0000EE"/>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6"/>
              </w:rPr>
              <w:t>Exhibits</w:t>
            </w:r>
          </w:p>
        </w:tc>
        <w:tc>
          <w:tcPr>
            <w:tcW w:w="720" w:type="dxa"/>
            <w:vAlign w:val="bottom"/>
            <w:tcBorders>
              <w:top w:val="single" w:sz="8" w:color="0000EE"/>
            </w:tcBorders>
            <w:gridSpan w:val="2"/>
          </w:tcPr>
          <w:p>
            <w:pPr>
              <w:spacing w:after="0"/>
              <w:rPr>
                <w:sz w:val="24"/>
                <w:szCs w:val="24"/>
                <w:color w:val="auto"/>
              </w:rPr>
            </w:pPr>
          </w:p>
        </w:tc>
        <w:tc>
          <w:tcPr>
            <w:tcW w:w="5600" w:type="dxa"/>
            <w:vAlign w:val="bottom"/>
            <w:gridSpan w:val="14"/>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0" w:type="dxa"/>
            <w:vAlign w:val="bottom"/>
          </w:tcPr>
          <w:p>
            <w:pPr>
              <w:spacing w:after="0"/>
              <w:rPr>
                <w:sz w:val="1"/>
                <w:szCs w:val="1"/>
                <w:color w:val="auto"/>
              </w:rPr>
            </w:pPr>
          </w:p>
        </w:tc>
      </w:tr>
      <w:tr>
        <w:trPr>
          <w:trHeight w:val="412"/>
        </w:trPr>
        <w:tc>
          <w:tcPr>
            <w:tcW w:w="76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7"/>
              </w:rPr>
              <w:t>Signatures</w:t>
            </w: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3" w:name="page4"/>
    <w:bookmarkEnd w:id="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right="2939" w:firstLine="2876"/>
        <w:spacing w:after="0" w:line="461" w:lineRule="auto"/>
        <w:rPr>
          <w:sz w:val="20"/>
          <w:szCs w:val="20"/>
          <w:color w:val="auto"/>
        </w:rPr>
      </w:pPr>
      <w:r>
        <w:rPr>
          <w:rFonts w:ascii="Times New Roman" w:cs="Times New Roman" w:eastAsia="Times New Roman" w:hAnsi="Times New Roman"/>
          <w:sz w:val="18"/>
          <w:szCs w:val="18"/>
          <w:b w:val="1"/>
          <w:bCs w:val="1"/>
          <w:color w:val="auto"/>
        </w:rPr>
        <w:t xml:space="preserve">PART I – FINANCIAL INFORMATION Item 1. </w:t>
      </w:r>
      <w:r>
        <w:rPr>
          <w:rFonts w:ascii="Times New Roman" w:cs="Times New Roman" w:eastAsia="Times New Roman" w:hAnsi="Times New Roman"/>
          <w:sz w:val="18"/>
          <w:szCs w:val="18"/>
          <w:b w:val="1"/>
          <w:bCs w:val="1"/>
          <w:i w:val="1"/>
          <w:iCs w:val="1"/>
          <w:color w:val="auto"/>
        </w:rPr>
        <w:t>Condensed Combined Financial Statements</w:t>
      </w:r>
      <w:r>
        <w:rPr>
          <w:rFonts w:ascii="Times New Roman" w:cs="Times New Roman" w:eastAsia="Times New Roman" w:hAnsi="Times New Roman"/>
          <w:sz w:val="18"/>
          <w:szCs w:val="18"/>
          <w:b w:val="1"/>
          <w:bCs w:val="1"/>
          <w:color w:val="auto"/>
        </w:rPr>
        <w:t>.</w:t>
      </w:r>
    </w:p>
    <w:p>
      <w:pPr>
        <w:spacing w:after="0" w:line="1" w:lineRule="exact"/>
        <w:rPr>
          <w:sz w:val="20"/>
          <w:szCs w:val="20"/>
          <w:color w:val="auto"/>
        </w:rPr>
      </w:pPr>
    </w:p>
    <w:p>
      <w:pPr>
        <w:ind w:left="2220" w:right="1919" w:firstLine="919"/>
        <w:spacing w:after="0" w:line="278" w:lineRule="auto"/>
        <w:rPr>
          <w:sz w:val="20"/>
          <w:szCs w:val="20"/>
          <w:color w:val="auto"/>
        </w:rPr>
      </w:pPr>
      <w:r>
        <w:rPr>
          <w:rFonts w:ascii="Times New Roman" w:cs="Times New Roman" w:eastAsia="Times New Roman" w:hAnsi="Times New Roman"/>
          <w:sz w:val="17"/>
          <w:szCs w:val="17"/>
          <w:b w:val="1"/>
          <w:bCs w:val="1"/>
          <w:color w:val="auto"/>
        </w:rPr>
        <w:t>GREY ROCK ENERGY FUND III (PREDECESSOR TO GRANITE RIDGE RESOURCES, INC.)</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COMBINED BALANCE SHEETS</w:t>
      </w:r>
    </w:p>
    <w:p>
      <w:pPr>
        <w:spacing w:after="0" w:line="241"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 w:type="dxa"/>
            <w:vAlign w:val="bottom"/>
          </w:tcPr>
          <w:p>
            <w:pPr>
              <w:spacing w:after="0"/>
              <w:rPr>
                <w:sz w:val="15"/>
                <w:szCs w:val="15"/>
                <w:color w:val="auto"/>
              </w:rPr>
            </w:pPr>
          </w:p>
        </w:tc>
        <w:tc>
          <w:tcPr>
            <w:tcW w:w="12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As of December 31,</w:t>
            </w:r>
          </w:p>
        </w:tc>
        <w:tc>
          <w:tcPr>
            <w:tcW w:w="0" w:type="dxa"/>
            <w:vAlign w:val="bottom"/>
          </w:tcPr>
          <w:p>
            <w:pPr>
              <w:spacing w:after="0"/>
              <w:rPr>
                <w:sz w:val="1"/>
                <w:szCs w:val="1"/>
                <w:color w:val="auto"/>
              </w:rPr>
            </w:pPr>
          </w:p>
        </w:tc>
      </w:tr>
      <w:tr>
        <w:trPr>
          <w:trHeight w:val="158"/>
        </w:trPr>
        <w:tc>
          <w:tcPr>
            <w:tcW w:w="51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060" w:type="dxa"/>
            <w:vAlign w:val="bottom"/>
          </w:tcPr>
          <w:p>
            <w:pPr>
              <w:spacing w:after="0"/>
              <w:rPr>
                <w:sz w:val="13"/>
                <w:szCs w:val="13"/>
                <w:color w:val="auto"/>
              </w:rPr>
            </w:pPr>
          </w:p>
        </w:tc>
        <w:tc>
          <w:tcPr>
            <w:tcW w:w="1280" w:type="dxa"/>
            <w:vAlign w:val="bottom"/>
            <w:tcBorders>
              <w:top w:val="single" w:sz="8" w:color="auto"/>
            </w:tcBorders>
            <w:gridSpan w:val="2"/>
          </w:tcPr>
          <w:p>
            <w:pPr>
              <w:spacing w:after="0" w:line="158" w:lineRule="exact"/>
              <w:rPr>
                <w:sz w:val="20"/>
                <w:szCs w:val="20"/>
                <w:color w:val="auto"/>
              </w:rPr>
            </w:pPr>
            <w:r>
              <w:rPr>
                <w:rFonts w:ascii="Times New Roman" w:cs="Times New Roman" w:eastAsia="Times New Roman" w:hAnsi="Times New Roman"/>
                <w:sz w:val="14"/>
                <w:szCs w:val="14"/>
                <w:b w:val="1"/>
                <w:bCs w:val="1"/>
                <w:color w:val="auto"/>
              </w:rPr>
              <w:t>As of September 30,</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0"/>
        </w:trPr>
        <w:tc>
          <w:tcPr>
            <w:tcW w:w="5160" w:type="dxa"/>
            <w:vAlign w:val="bottom"/>
            <w:gridSpan w:val="2"/>
            <w:vMerge w:val="continue"/>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2022</w:t>
            </w: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jc w:val="right"/>
              <w:ind w:right="41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0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Cash</w:t>
            </w:r>
          </w:p>
        </w:tc>
        <w:tc>
          <w:tcPr>
            <w:tcW w:w="1240" w:type="dxa"/>
            <w:vAlign w:val="bottom"/>
            <w:gridSpan w:val="2"/>
            <w:shd w:val="clear" w:color="auto" w:fill="CCEEFF"/>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1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 receivable</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54,324</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32,697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Advances to operators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26,230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Other assets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4,098</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Other Receivable</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Derivative assets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Contributions receivable</w:t>
            </w:r>
          </w:p>
        </w:tc>
        <w:tc>
          <w:tcPr>
            <w:tcW w:w="1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current assets</w:t>
            </w:r>
          </w:p>
        </w:tc>
        <w:tc>
          <w:tcPr>
            <w:tcW w:w="1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95,448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77,799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Oil and gas properties, successful efforts method</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550,163</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376,657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Accumulated depletion</w:t>
            </w:r>
          </w:p>
        </w:tc>
        <w:tc>
          <w:tcPr>
            <w:tcW w:w="1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(168,302)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(98,266)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200"/>
              <w:spacing w:after="0"/>
              <w:rPr>
                <w:sz w:val="20"/>
                <w:szCs w:val="20"/>
                <w:color w:val="auto"/>
              </w:rPr>
            </w:pPr>
            <w:r>
              <w:rPr>
                <w:rFonts w:ascii="Times New Roman" w:cs="Times New Roman" w:eastAsia="Times New Roman" w:hAnsi="Times New Roman"/>
                <w:sz w:val="18"/>
                <w:szCs w:val="18"/>
                <w:color w:val="auto"/>
              </w:rPr>
              <w:t>Total property and equipment, net</w:t>
            </w:r>
          </w:p>
        </w:tc>
        <w:tc>
          <w:tcPr>
            <w:tcW w:w="1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381,861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278,391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assets: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Derivative assets</w:t>
            </w:r>
          </w:p>
        </w:tc>
        <w:tc>
          <w:tcPr>
            <w:tcW w:w="1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long-term assets</w:t>
            </w:r>
          </w:p>
        </w:tc>
        <w:tc>
          <w:tcPr>
            <w:tcW w:w="1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06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478,121</w:t>
            </w:r>
          </w:p>
        </w:tc>
        <w:tc>
          <w:tcPr>
            <w:tcW w:w="14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356,190</w:t>
            </w:r>
          </w:p>
        </w:tc>
        <w:tc>
          <w:tcPr>
            <w:tcW w:w="0" w:type="dxa"/>
            <w:vAlign w:val="bottom"/>
          </w:tcPr>
          <w:p>
            <w:pPr>
              <w:spacing w:after="0"/>
              <w:rPr>
                <w:sz w:val="1"/>
                <w:szCs w:val="1"/>
                <w:color w:val="auto"/>
              </w:rPr>
            </w:pPr>
          </w:p>
        </w:tc>
      </w:tr>
      <w:tr>
        <w:trPr>
          <w:trHeight w:val="196"/>
        </w:trPr>
        <w:tc>
          <w:tcPr>
            <w:tcW w:w="20" w:type="dxa"/>
            <w:vAlign w:val="bottom"/>
            <w:vMerge w:val="restart"/>
          </w:tcPr>
          <w:p>
            <w:pPr>
              <w:spacing w:after="0"/>
              <w:rPr>
                <w:sz w:val="17"/>
                <w:szCs w:val="17"/>
                <w:color w:val="auto"/>
              </w:rPr>
            </w:pPr>
          </w:p>
        </w:tc>
        <w:tc>
          <w:tcPr>
            <w:tcW w:w="5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LIABILITIES AND PARTNERS' CAPITAL</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Accrued expenses</w:t>
            </w:r>
          </w:p>
        </w:tc>
        <w:tc>
          <w:tcPr>
            <w:tcW w:w="1240" w:type="dxa"/>
            <w:vAlign w:val="bottom"/>
            <w:gridSpan w:val="2"/>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20,595</w:t>
            </w:r>
          </w:p>
        </w:tc>
        <w:tc>
          <w:tcPr>
            <w:tcW w:w="140" w:type="dxa"/>
            <w:vAlign w:val="bottom"/>
          </w:tcPr>
          <w:p>
            <w:pPr>
              <w:spacing w:after="0"/>
              <w:rPr>
                <w:sz w:val="18"/>
                <w:szCs w:val="18"/>
                <w:color w:val="auto"/>
              </w:rPr>
            </w:pPr>
          </w:p>
        </w:tc>
        <w:tc>
          <w:tcPr>
            <w:tcW w:w="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Derivative liabilities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Credit facilities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29,938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top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0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24,536</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40,531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Long-term liabilities:</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Derivative liabilities</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Asset retirement obligations</w:t>
            </w:r>
          </w:p>
        </w:tc>
        <w:tc>
          <w:tcPr>
            <w:tcW w:w="1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long-term liabilities</w:t>
            </w:r>
          </w:p>
        </w:tc>
        <w:tc>
          <w:tcPr>
            <w:tcW w:w="1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26,779</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41,894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Commitments and contingencies (Note 8)</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color w:val="auto"/>
              </w:rPr>
              <w:t>Partners' capital:</w:t>
            </w: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partner</w:t>
            </w: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41,614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4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Limited partners</w:t>
            </w:r>
          </w:p>
        </w:tc>
        <w:tc>
          <w:tcPr>
            <w:tcW w:w="106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409,728</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298,834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 partners' capital</w:t>
            </w:r>
          </w:p>
        </w:tc>
        <w:tc>
          <w:tcPr>
            <w:tcW w:w="106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451,342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314,296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PARTNERS' CAPITAL</w:t>
            </w:r>
          </w:p>
        </w:tc>
        <w:tc>
          <w:tcPr>
            <w:tcW w:w="1060" w:type="dxa"/>
            <w:vAlign w:val="bottom"/>
          </w:tcPr>
          <w:p>
            <w:pPr>
              <w:spacing w:after="0"/>
              <w:rPr>
                <w:sz w:val="18"/>
                <w:szCs w:val="18"/>
                <w:color w:val="auto"/>
              </w:rPr>
            </w:pPr>
          </w:p>
        </w:tc>
        <w:tc>
          <w:tcPr>
            <w:tcW w:w="1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478,121</w:t>
            </w:r>
          </w:p>
        </w:tc>
        <w:tc>
          <w:tcPr>
            <w:tcW w:w="14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356,190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76" w:lineRule="exact"/>
        <w:rPr>
          <w:sz w:val="20"/>
          <w:szCs w:val="20"/>
          <w:color w:val="auto"/>
        </w:rPr>
      </w:pPr>
    </w:p>
    <w:p>
      <w:pPr>
        <w:ind w:left="1240"/>
        <w:spacing w:after="0"/>
        <w:rPr>
          <w:sz w:val="20"/>
          <w:szCs w:val="20"/>
          <w:color w:val="auto"/>
        </w:rPr>
      </w:pPr>
      <w:r>
        <w:rPr>
          <w:rFonts w:ascii="Times New Roman" w:cs="Times New Roman" w:eastAsia="Times New Roman" w:hAnsi="Times New Roman"/>
          <w:sz w:val="18"/>
          <w:szCs w:val="18"/>
          <w:color w:val="auto"/>
        </w:rPr>
        <w:t>The accompanying notes are an integral part to these condensed combined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1714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 w:name="page5"/>
    <w:bookmarkEnd w:id="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GREY ROCK ENERGY FUND III</w:t>
      </w:r>
    </w:p>
    <w:p>
      <w:pPr>
        <w:spacing w:after="0" w:line="22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(PREDECESSOR TO GRANITE RIDGE RESOURCES, INC.)</w:t>
      </w:r>
    </w:p>
    <w:p>
      <w:pPr>
        <w:spacing w:after="0" w:line="31" w:lineRule="exact"/>
        <w:rPr>
          <w:sz w:val="20"/>
          <w:szCs w:val="20"/>
          <w:color w:val="auto"/>
        </w:rPr>
      </w:pPr>
    </w:p>
    <w:p>
      <w:pPr>
        <w:ind w:left="2240"/>
        <w:spacing w:after="0"/>
        <w:rPr>
          <w:sz w:val="20"/>
          <w:szCs w:val="20"/>
          <w:color w:val="auto"/>
        </w:rPr>
      </w:pPr>
      <w:r>
        <w:rPr>
          <w:rFonts w:ascii="Times New Roman" w:cs="Times New Roman" w:eastAsia="Times New Roman" w:hAnsi="Times New Roman"/>
          <w:sz w:val="18"/>
          <w:szCs w:val="18"/>
          <w:b w:val="1"/>
          <w:bCs w:val="1"/>
          <w:color w:val="auto"/>
        </w:rPr>
        <w:t>CONDENSED COMBINED STATEMENTS OF INCOME</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40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4340" w:type="dxa"/>
            <w:vAlign w:val="bottom"/>
            <w:tcBorders>
              <w:bottom w:val="single" w:sz="8" w:color="CCEEFF"/>
            </w:tcBorders>
            <w:vMerge w:val="continue"/>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5"/>
                <w:szCs w:val="15"/>
                <w:color w:val="auto"/>
              </w:rPr>
            </w:pPr>
          </w:p>
        </w:tc>
        <w:tc>
          <w:tcPr>
            <w:tcW w:w="22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Oil, natural gas, and related product sales, net</w:t>
            </w: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90,194</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55,717</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263,263</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142,632</w:t>
            </w:r>
          </w:p>
        </w:tc>
        <w:tc>
          <w:tcPr>
            <w:tcW w:w="0" w:type="dxa"/>
            <w:vAlign w:val="bottom"/>
          </w:tcPr>
          <w:p>
            <w:pPr>
              <w:spacing w:after="0"/>
              <w:rPr>
                <w:sz w:val="1"/>
                <w:szCs w:val="1"/>
                <w:color w:val="auto"/>
              </w:rPr>
            </w:pPr>
          </w:p>
        </w:tc>
      </w:tr>
      <w:tr>
        <w:trPr>
          <w:trHeight w:val="209"/>
        </w:trPr>
        <w:tc>
          <w:tcPr>
            <w:tcW w:w="4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Lease operating expenses</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15,840</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Production taxes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14,628</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w:t>
            </w: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Depletion and accretion expense</w:t>
            </w:r>
          </w:p>
        </w:tc>
        <w:tc>
          <w:tcPr>
            <w:tcW w:w="2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39,868</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15,794</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70,529</w:t>
            </w: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45,798</w:t>
            </w: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0" w:type="dxa"/>
            <w:vAlign w:val="bottom"/>
          </w:tcPr>
          <w:p>
            <w:pPr>
              <w:spacing w:after="0"/>
              <w:rPr>
                <w:sz w:val="1"/>
                <w:szCs w:val="1"/>
                <w:color w:val="auto"/>
              </w:rPr>
            </w:pPr>
          </w:p>
        </w:tc>
      </w:tr>
      <w:tr>
        <w:trPr>
          <w:trHeight w:val="209"/>
        </w:trPr>
        <w:tc>
          <w:tcPr>
            <w:tcW w:w="43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Total expenses</w:t>
            </w: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53,065</w:t>
            </w:r>
          </w:p>
        </w:tc>
        <w:tc>
          <w:tcPr>
            <w:tcW w:w="2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23,685</w:t>
            </w:r>
          </w:p>
        </w:tc>
        <w:tc>
          <w:tcPr>
            <w:tcW w:w="14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105,877</w:t>
            </w:r>
          </w:p>
        </w:tc>
        <w:tc>
          <w:tcPr>
            <w:tcW w:w="1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66,920</w:t>
            </w:r>
          </w:p>
        </w:tc>
        <w:tc>
          <w:tcPr>
            <w:tcW w:w="0" w:type="dxa"/>
            <w:vAlign w:val="bottom"/>
          </w:tcPr>
          <w:p>
            <w:pPr>
              <w:spacing w:after="0"/>
              <w:rPr>
                <w:sz w:val="1"/>
                <w:szCs w:val="1"/>
                <w:color w:val="auto"/>
              </w:rPr>
            </w:pPr>
          </w:p>
        </w:tc>
      </w:tr>
      <w:tr>
        <w:trPr>
          <w:trHeight w:val="210"/>
        </w:trPr>
        <w:tc>
          <w:tcPr>
            <w:tcW w:w="43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Net operating income</w:t>
            </w:r>
          </w:p>
        </w:tc>
        <w:tc>
          <w:tcPr>
            <w:tcW w:w="24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37,129</w:t>
            </w:r>
          </w:p>
        </w:tc>
        <w:tc>
          <w:tcPr>
            <w:tcW w:w="2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32,032</w:t>
            </w:r>
          </w:p>
        </w:tc>
        <w:tc>
          <w:tcPr>
            <w:tcW w:w="14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157,386</w:t>
            </w: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75,712</w:t>
            </w:r>
          </w:p>
        </w:tc>
        <w:tc>
          <w:tcPr>
            <w:tcW w:w="0" w:type="dxa"/>
            <w:vAlign w:val="bottom"/>
          </w:tcPr>
          <w:p>
            <w:pPr>
              <w:spacing w:after="0"/>
              <w:rPr>
                <w:sz w:val="1"/>
                <w:szCs w:val="1"/>
                <w:color w:val="auto"/>
              </w:rPr>
            </w:pPr>
          </w:p>
        </w:tc>
      </w:tr>
      <w:tr>
        <w:trPr>
          <w:trHeight w:val="20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INCOME/(EXPENSE)</w:t>
            </w:r>
          </w:p>
        </w:tc>
        <w:tc>
          <w:tcPr>
            <w:tcW w:w="2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Gain/(loss) on derivative contracts</w:t>
            </w:r>
          </w:p>
        </w:tc>
        <w:tc>
          <w:tcPr>
            <w:tcW w:w="2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(6,558)</w:t>
            </w: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(19,147)</w:t>
            </w: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(18,115)</w:t>
            </w:r>
          </w:p>
        </w:tc>
        <w:tc>
          <w:tcPr>
            <w:tcW w:w="0" w:type="dxa"/>
            <w:vAlign w:val="bottom"/>
          </w:tcPr>
          <w:p>
            <w:pPr>
              <w:spacing w:after="0"/>
              <w:rPr>
                <w:sz w:val="1"/>
                <w:szCs w:val="1"/>
                <w:color w:val="auto"/>
              </w:rPr>
            </w:pPr>
          </w:p>
        </w:tc>
      </w:tr>
      <w:tr>
        <w:trPr>
          <w:trHeight w:val="216"/>
        </w:trPr>
        <w:tc>
          <w:tcPr>
            <w:tcW w:w="4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(476)</w:t>
            </w:r>
          </w:p>
        </w:tc>
        <w:tc>
          <w:tcPr>
            <w:tcW w:w="240" w:type="dxa"/>
            <w:vAlign w:val="bottom"/>
          </w:tcPr>
          <w:p>
            <w:pPr>
              <w:spacing w:after="0"/>
              <w:rPr>
                <w:sz w:val="18"/>
                <w:szCs w:val="18"/>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(353)</w:t>
            </w:r>
          </w:p>
        </w:tc>
        <w:tc>
          <w:tcPr>
            <w:tcW w:w="220" w:type="dxa"/>
            <w:vAlign w:val="bottom"/>
          </w:tcPr>
          <w:p>
            <w:pPr>
              <w:spacing w:after="0"/>
              <w:rPr>
                <w:sz w:val="18"/>
                <w:szCs w:val="18"/>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(1,193)</w:t>
            </w:r>
          </w:p>
        </w:tc>
        <w:tc>
          <w:tcPr>
            <w:tcW w:w="2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(926)</w:t>
            </w:r>
          </w:p>
        </w:tc>
        <w:tc>
          <w:tcPr>
            <w:tcW w:w="0" w:type="dxa"/>
            <w:vAlign w:val="bottom"/>
          </w:tcPr>
          <w:p>
            <w:pPr>
              <w:spacing w:after="0"/>
              <w:rPr>
                <w:sz w:val="1"/>
                <w:szCs w:val="1"/>
                <w:color w:val="auto"/>
              </w:rPr>
            </w:pPr>
          </w:p>
        </w:tc>
      </w:tr>
      <w:tr>
        <w:trPr>
          <w:trHeight w:val="210"/>
        </w:trPr>
        <w:tc>
          <w:tcPr>
            <w:tcW w:w="434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 other income/(expense)</w:t>
            </w: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5,606</w:t>
            </w:r>
          </w:p>
        </w:tc>
        <w:tc>
          <w:tcPr>
            <w:tcW w:w="2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(6,911)</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(20,340)</w:t>
            </w:r>
          </w:p>
        </w:tc>
        <w:tc>
          <w:tcPr>
            <w:tcW w:w="1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(19,041)</w:t>
            </w:r>
          </w:p>
        </w:tc>
        <w:tc>
          <w:tcPr>
            <w:tcW w:w="0" w:type="dxa"/>
            <w:vAlign w:val="bottom"/>
          </w:tcPr>
          <w:p>
            <w:pPr>
              <w:spacing w:after="0"/>
              <w:rPr>
                <w:sz w:val="1"/>
                <w:szCs w:val="1"/>
                <w:color w:val="auto"/>
              </w:rPr>
            </w:pPr>
          </w:p>
        </w:tc>
      </w:tr>
      <w:tr>
        <w:trPr>
          <w:trHeight w:val="209"/>
        </w:trPr>
        <w:tc>
          <w:tcPr>
            <w:tcW w:w="43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42,735</w:t>
            </w:r>
          </w:p>
        </w:tc>
        <w:tc>
          <w:tcPr>
            <w:tcW w:w="200" w:type="dxa"/>
            <w:vAlign w:val="bottom"/>
          </w:tcPr>
          <w:p>
            <w:pPr>
              <w:spacing w:after="0"/>
              <w:rPr>
                <w:sz w:val="18"/>
                <w:szCs w:val="18"/>
                <w:color w:val="auto"/>
              </w:rPr>
            </w:pPr>
          </w:p>
        </w:tc>
        <w:tc>
          <w:tcPr>
            <w:tcW w:w="24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25,121</w:t>
            </w:r>
          </w:p>
        </w:tc>
        <w:tc>
          <w:tcPr>
            <w:tcW w:w="14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137,046</w:t>
            </w:r>
          </w:p>
        </w:tc>
        <w:tc>
          <w:tcPr>
            <w:tcW w:w="160" w:type="dxa"/>
            <w:vAlign w:val="bottom"/>
          </w:tcPr>
          <w:p>
            <w:pPr>
              <w:spacing w:after="0"/>
              <w:rPr>
                <w:sz w:val="18"/>
                <w:szCs w:val="18"/>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56,671</w:t>
            </w:r>
          </w:p>
        </w:tc>
        <w:tc>
          <w:tcPr>
            <w:tcW w:w="0" w:type="dxa"/>
            <w:vAlign w:val="bottom"/>
          </w:tcPr>
          <w:p>
            <w:pPr>
              <w:spacing w:after="0"/>
              <w:rPr>
                <w:sz w:val="1"/>
                <w:szCs w:val="1"/>
                <w:color w:val="auto"/>
              </w:rPr>
            </w:pPr>
          </w:p>
        </w:tc>
      </w:tr>
      <w:tr>
        <w:trPr>
          <w:trHeight w:val="20"/>
        </w:trPr>
        <w:tc>
          <w:tcPr>
            <w:tcW w:w="43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The accompanying notes are an integral part to these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5" w:name="page6"/>
    <w:bookmarkEnd w:id="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GREY ROCK ENERGY FUND III</w:t>
      </w:r>
    </w:p>
    <w:p>
      <w:pPr>
        <w:spacing w:after="0" w:line="225" w:lineRule="exact"/>
        <w:rPr>
          <w:sz w:val="20"/>
          <w:szCs w:val="20"/>
          <w:color w:val="auto"/>
        </w:rPr>
      </w:pPr>
    </w:p>
    <w:p>
      <w:pPr>
        <w:ind w:left="1100" w:right="1119" w:firstLine="1123"/>
        <w:spacing w:after="0" w:line="278" w:lineRule="auto"/>
        <w:rPr>
          <w:sz w:val="20"/>
          <w:szCs w:val="20"/>
          <w:color w:val="auto"/>
        </w:rPr>
      </w:pPr>
      <w:r>
        <w:rPr>
          <w:rFonts w:ascii="Times New Roman" w:cs="Times New Roman" w:eastAsia="Times New Roman" w:hAnsi="Times New Roman"/>
          <w:sz w:val="17"/>
          <w:szCs w:val="17"/>
          <w:b w:val="1"/>
          <w:bCs w:val="1"/>
          <w:color w:val="auto"/>
        </w:rPr>
        <w:t>(PREDECESSOR TO GRANITE RIDGE RESOURCES, INC.) CONDENSED COMBINED STATEMENTS OF CHANGES IN PARTNERS’ CAPITAL</w:t>
      </w:r>
    </w:p>
    <w:p>
      <w:pPr>
        <w:spacing w:after="0" w:line="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5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General Partner</w:t>
            </w:r>
          </w:p>
        </w:tc>
        <w:tc>
          <w:tcPr>
            <w:tcW w:w="122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2021</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15,462</w:t>
            </w:r>
          </w:p>
        </w:tc>
        <w:tc>
          <w:tcPr>
            <w:tcW w:w="1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298,834</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314,296</w:t>
            </w:r>
          </w:p>
        </w:tc>
        <w:tc>
          <w:tcPr>
            <w:tcW w:w="0" w:type="dxa"/>
            <w:vAlign w:val="bottom"/>
          </w:tcPr>
          <w:p>
            <w:pPr>
              <w:spacing w:after="0"/>
              <w:rPr>
                <w:sz w:val="1"/>
                <w:szCs w:val="1"/>
                <w:color w:val="auto"/>
              </w:rPr>
            </w:pPr>
          </w:p>
        </w:tc>
      </w:tr>
      <w:tr>
        <w:trPr>
          <w:trHeight w:val="216"/>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(loss)/income</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27,874</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27,845</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Carried interest reallocation</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(7,168)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9"/>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2022</w:t>
            </w:r>
          </w:p>
        </w:tc>
        <w:tc>
          <w:tcPr>
            <w:tcW w:w="2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22,601</w:t>
            </w:r>
          </w:p>
        </w:tc>
        <w:tc>
          <w:tcPr>
            <w:tcW w:w="1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319,540</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342,141</w:t>
            </w:r>
          </w:p>
        </w:tc>
        <w:tc>
          <w:tcPr>
            <w:tcW w:w="0" w:type="dxa"/>
            <w:vAlign w:val="bottom"/>
          </w:tcPr>
          <w:p>
            <w:pPr>
              <w:spacing w:after="0"/>
              <w:rPr>
                <w:sz w:val="1"/>
                <w:szCs w:val="1"/>
                <w:color w:val="auto"/>
              </w:rPr>
            </w:pPr>
          </w:p>
        </w:tc>
      </w:tr>
      <w:tr>
        <w:trPr>
          <w:trHeight w:val="209"/>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66,248</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66,466</w:t>
            </w:r>
          </w:p>
        </w:tc>
        <w:tc>
          <w:tcPr>
            <w:tcW w:w="0" w:type="dxa"/>
            <w:vAlign w:val="bottom"/>
          </w:tcPr>
          <w:p>
            <w:pPr>
              <w:spacing w:after="0"/>
              <w:rPr>
                <w:sz w:val="1"/>
                <w:szCs w:val="1"/>
                <w:color w:val="auto"/>
              </w:rPr>
            </w:pPr>
          </w:p>
        </w:tc>
      </w:tr>
      <w:tr>
        <w:trPr>
          <w:trHeight w:val="216"/>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Carried interest reallocation</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11,801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(11,801)</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2022</w:t>
            </w: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34,620</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373,987</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408,607</w:t>
            </w:r>
          </w:p>
        </w:tc>
        <w:tc>
          <w:tcPr>
            <w:tcW w:w="0" w:type="dxa"/>
            <w:vAlign w:val="bottom"/>
          </w:tcPr>
          <w:p>
            <w:pPr>
              <w:spacing w:after="0"/>
              <w:rPr>
                <w:sz w:val="1"/>
                <w:szCs w:val="1"/>
                <w:color w:val="auto"/>
              </w:rPr>
            </w:pPr>
          </w:p>
        </w:tc>
      </w:tr>
      <w:tr>
        <w:trPr>
          <w:trHeight w:val="209"/>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42,395</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42,735</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Carried interest reallocation</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(6,654)</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6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2022</w:t>
            </w: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41,614</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409,728</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451,342</w:t>
            </w:r>
          </w:p>
        </w:tc>
        <w:tc>
          <w:tcPr>
            <w:tcW w:w="0" w:type="dxa"/>
            <w:vAlign w:val="bottom"/>
          </w:tcPr>
          <w:p>
            <w:pPr>
              <w:spacing w:after="0"/>
              <w:rPr>
                <w:sz w:val="1"/>
                <w:szCs w:val="1"/>
                <w:color w:val="auto"/>
              </w:rPr>
            </w:pPr>
          </w:p>
        </w:tc>
      </w:tr>
      <w:tr>
        <w:trPr>
          <w:trHeight w:val="20"/>
        </w:trPr>
        <w:tc>
          <w:tcPr>
            <w:tcW w:w="56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0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5680" w:type="dxa"/>
            <w:vAlign w:val="bottom"/>
            <w:vMerge w:val="continue"/>
          </w:tcPr>
          <w:p>
            <w:pPr>
              <w:spacing w:after="0"/>
              <w:rPr>
                <w:sz w:val="24"/>
                <w:szCs w:val="24"/>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General Partner</w:t>
            </w:r>
          </w:p>
        </w:tc>
        <w:tc>
          <w:tcPr>
            <w:tcW w:w="20" w:type="dxa"/>
            <w:vAlign w:val="bottom"/>
          </w:tcPr>
          <w:p>
            <w:pPr>
              <w:spacing w:after="0"/>
              <w:rPr>
                <w:sz w:val="24"/>
                <w:szCs w:val="24"/>
                <w:color w:val="auto"/>
              </w:rPr>
            </w:pPr>
          </w:p>
        </w:tc>
        <w:tc>
          <w:tcPr>
            <w:tcW w:w="12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Limited Partners</w:t>
            </w: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jc w:val="right"/>
              <w:ind w:right="172"/>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09"/>
        </w:trPr>
        <w:tc>
          <w:tcPr>
            <w:tcW w:w="56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December 31, 2020</w:t>
            </w:r>
          </w:p>
        </w:tc>
        <w:tc>
          <w:tcPr>
            <w:tcW w:w="28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177,772</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178,429</w:t>
            </w:r>
          </w:p>
        </w:tc>
        <w:tc>
          <w:tcPr>
            <w:tcW w:w="0" w:type="dxa"/>
            <w:vAlign w:val="bottom"/>
          </w:tcPr>
          <w:p>
            <w:pPr>
              <w:spacing w:after="0"/>
              <w:rPr>
                <w:sz w:val="1"/>
                <w:szCs w:val="1"/>
                <w:color w:val="auto"/>
              </w:rPr>
            </w:pPr>
          </w:p>
        </w:tc>
      </w:tr>
      <w:tr>
        <w:trPr>
          <w:trHeight w:val="216"/>
        </w:trPr>
        <w:tc>
          <w:tcPr>
            <w:tcW w:w="568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15,459</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15,510</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March 31, 2021</w:t>
            </w: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193,231</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193,939</w:t>
            </w:r>
          </w:p>
        </w:tc>
        <w:tc>
          <w:tcPr>
            <w:tcW w:w="0" w:type="dxa"/>
            <w:vAlign w:val="bottom"/>
          </w:tcPr>
          <w:p>
            <w:pPr>
              <w:spacing w:after="0"/>
              <w:rPr>
                <w:sz w:val="1"/>
                <w:szCs w:val="1"/>
                <w:color w:val="auto"/>
              </w:rPr>
            </w:pPr>
          </w:p>
        </w:tc>
      </w:tr>
      <w:tr>
        <w:trPr>
          <w:trHeight w:val="209"/>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(loss)/income</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16,259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16,040</w:t>
            </w:r>
          </w:p>
        </w:tc>
        <w:tc>
          <w:tcPr>
            <w:tcW w:w="0" w:type="dxa"/>
            <w:vAlign w:val="bottom"/>
          </w:tcPr>
          <w:p>
            <w:pPr>
              <w:spacing w:after="0"/>
              <w:rPr>
                <w:sz w:val="1"/>
                <w:szCs w:val="1"/>
                <w:color w:val="auto"/>
              </w:rPr>
            </w:pPr>
          </w:p>
        </w:tc>
      </w:tr>
      <w:tr>
        <w:trPr>
          <w:trHeight w:val="216"/>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Partners' contributions</w:t>
            </w:r>
          </w:p>
        </w:tc>
        <w:tc>
          <w:tcPr>
            <w:tcW w:w="2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19,938</w:t>
            </w:r>
          </w:p>
        </w:tc>
        <w:tc>
          <w:tcPr>
            <w:tcW w:w="20" w:type="dxa"/>
            <w:vAlign w:val="bottom"/>
            <w:tcBorders>
              <w:bottom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w:t>
            </w:r>
          </w:p>
        </w:tc>
        <w:tc>
          <w:tcPr>
            <w:tcW w:w="0" w:type="dxa"/>
            <w:vAlign w:val="bottom"/>
          </w:tcPr>
          <w:p>
            <w:pPr>
              <w:spacing w:after="0"/>
              <w:rPr>
                <w:sz w:val="1"/>
                <w:szCs w:val="1"/>
                <w:color w:val="auto"/>
              </w:rPr>
            </w:pPr>
          </w:p>
        </w:tc>
      </w:tr>
      <w:tr>
        <w:trPr>
          <w:trHeight w:val="210"/>
        </w:trPr>
        <w:tc>
          <w:tcPr>
            <w:tcW w:w="56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June 30, 2021</w:t>
            </w:r>
          </w:p>
        </w:tc>
        <w:tc>
          <w:tcPr>
            <w:tcW w:w="2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229,428</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229,979</w:t>
            </w:r>
          </w:p>
        </w:tc>
        <w:tc>
          <w:tcPr>
            <w:tcW w:w="0" w:type="dxa"/>
            <w:vAlign w:val="bottom"/>
          </w:tcPr>
          <w:p>
            <w:pPr>
              <w:spacing w:after="0"/>
              <w:rPr>
                <w:sz w:val="1"/>
                <w:szCs w:val="1"/>
                <w:color w:val="auto"/>
              </w:rPr>
            </w:pPr>
          </w:p>
        </w:tc>
      </w:tr>
      <w:tr>
        <w:trPr>
          <w:trHeight w:val="210"/>
        </w:trPr>
        <w:tc>
          <w:tcPr>
            <w:tcW w:w="568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Net (loss)/income</w:t>
            </w:r>
          </w:p>
        </w:tc>
        <w:tc>
          <w:tcPr>
            <w:tcW w:w="2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25,194</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25,121</w:t>
            </w:r>
          </w:p>
        </w:tc>
        <w:tc>
          <w:tcPr>
            <w:tcW w:w="0" w:type="dxa"/>
            <w:vAlign w:val="bottom"/>
          </w:tcPr>
          <w:p>
            <w:pPr>
              <w:spacing w:after="0"/>
              <w:rPr>
                <w:sz w:val="1"/>
                <w:szCs w:val="1"/>
                <w:color w:val="auto"/>
              </w:rPr>
            </w:pPr>
          </w:p>
        </w:tc>
      </w:tr>
      <w:tr>
        <w:trPr>
          <w:trHeight w:val="216"/>
        </w:trPr>
        <w:tc>
          <w:tcPr>
            <w:tcW w:w="56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Carried interest reallocation</w:t>
            </w:r>
          </w:p>
        </w:tc>
        <w:tc>
          <w:tcPr>
            <w:tcW w:w="2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12,856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(12,856)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5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Balance at September 30, 2021</w:t>
            </w: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241,766</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255,100</w:t>
            </w:r>
          </w:p>
        </w:tc>
        <w:tc>
          <w:tcPr>
            <w:tcW w:w="0" w:type="dxa"/>
            <w:vAlign w:val="bottom"/>
          </w:tcPr>
          <w:p>
            <w:pPr>
              <w:spacing w:after="0"/>
              <w:rPr>
                <w:sz w:val="1"/>
                <w:szCs w:val="1"/>
                <w:color w:val="auto"/>
              </w:rPr>
            </w:pPr>
          </w:p>
        </w:tc>
      </w:tr>
      <w:tr>
        <w:trPr>
          <w:trHeight w:val="20"/>
        </w:trPr>
        <w:tc>
          <w:tcPr>
            <w:tcW w:w="56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The accompanying notes are an integral part to these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6" w:name="page7"/>
    <w:bookmarkEnd w:id="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GREY ROCK ENERGY FUND III</w:t>
      </w:r>
    </w:p>
    <w:p>
      <w:pPr>
        <w:spacing w:after="0" w:line="225" w:lineRule="exact"/>
        <w:rPr>
          <w:sz w:val="20"/>
          <w:szCs w:val="20"/>
          <w:color w:val="auto"/>
        </w:rPr>
      </w:pPr>
    </w:p>
    <w:p>
      <w:pPr>
        <w:ind w:left="2220"/>
        <w:spacing w:after="0"/>
        <w:rPr>
          <w:sz w:val="20"/>
          <w:szCs w:val="20"/>
          <w:color w:val="auto"/>
        </w:rPr>
      </w:pPr>
      <w:r>
        <w:rPr>
          <w:rFonts w:ascii="Times New Roman" w:cs="Times New Roman" w:eastAsia="Times New Roman" w:hAnsi="Times New Roman"/>
          <w:sz w:val="18"/>
          <w:szCs w:val="18"/>
          <w:b w:val="1"/>
          <w:bCs w:val="1"/>
          <w:color w:val="auto"/>
        </w:rPr>
        <w:t>(PREDECESSOR TO GRANITE RIDGE RESOURCES, INC.)</w:t>
      </w:r>
    </w:p>
    <w:p>
      <w:pPr>
        <w:spacing w:after="0" w:line="31" w:lineRule="exact"/>
        <w:rPr>
          <w:sz w:val="20"/>
          <w:szCs w:val="20"/>
          <w:color w:val="auto"/>
        </w:rPr>
      </w:pPr>
    </w:p>
    <w:p>
      <w:pPr>
        <w:ind w:left="2020"/>
        <w:spacing w:after="0"/>
        <w:rPr>
          <w:sz w:val="20"/>
          <w:szCs w:val="20"/>
          <w:color w:val="auto"/>
        </w:rPr>
      </w:pPr>
      <w:r>
        <w:rPr>
          <w:rFonts w:ascii="Times New Roman" w:cs="Times New Roman" w:eastAsia="Times New Roman" w:hAnsi="Times New Roman"/>
          <w:sz w:val="18"/>
          <w:szCs w:val="18"/>
          <w:b w:val="1"/>
          <w:bCs w:val="1"/>
          <w:color w:val="auto"/>
        </w:rPr>
        <w:t>CONDENSED COMBINED STATEMENTS OF CASH FLOWS</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32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6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4"/>
          </w:tcPr>
          <w:p>
            <w:pPr>
              <w:jc w:val="right"/>
              <w:ind w:right="17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83"/>
        </w:trPr>
        <w:tc>
          <w:tcPr>
            <w:tcW w:w="6320" w:type="dxa"/>
            <w:vAlign w:val="bottom"/>
            <w:tcBorders>
              <w:bottom w:val="single" w:sz="8" w:color="CCEEFF"/>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activities: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137,046</w:t>
            </w:r>
          </w:p>
        </w:tc>
        <w:tc>
          <w:tcPr>
            <w:tcW w:w="2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56,671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Depletion and accretion expense</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45,798</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Change in unrealized (gain) loss on derivative contracts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(5,600)</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w:t>
            </w: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loan origination costs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198"/>
        </w:trPr>
        <w:tc>
          <w:tcPr>
            <w:tcW w:w="6320" w:type="dxa"/>
            <w:vAlign w:val="bottom"/>
            <w:shd w:val="clear" w:color="auto" w:fill="CCEEFF"/>
          </w:tcPr>
          <w:p>
            <w:pPr>
              <w:ind w:left="120"/>
              <w:spacing w:after="0" w:line="198" w:lineRule="exact"/>
              <w:rPr>
                <w:sz w:val="20"/>
                <w:szCs w:val="20"/>
                <w:color w:val="auto"/>
              </w:rPr>
            </w:pPr>
            <w:r>
              <w:rPr>
                <w:rFonts w:ascii="Times New Roman" w:cs="Times New Roman" w:eastAsia="Times New Roman" w:hAnsi="Times New Roman"/>
                <w:sz w:val="18"/>
                <w:szCs w:val="18"/>
                <w:color w:val="auto"/>
              </w:rPr>
              <w:t>Increase (decrease) in cash attributable to changes in operating assets and</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Revenue receivable</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(21,627)</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(22,941)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Prepaid expenses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(4,028)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Accrued expenses</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2,811</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1,800</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179,662</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91,900</w:t>
            </w:r>
          </w:p>
        </w:tc>
        <w:tc>
          <w:tcPr>
            <w:tcW w:w="0" w:type="dxa"/>
            <w:vAlign w:val="bottom"/>
          </w:tcPr>
          <w:p>
            <w:pPr>
              <w:spacing w:after="0"/>
              <w:rPr>
                <w:sz w:val="1"/>
                <w:szCs w:val="1"/>
                <w:color w:val="auto"/>
              </w:rPr>
            </w:pPr>
          </w:p>
        </w:tc>
      </w:tr>
      <w:tr>
        <w:trPr>
          <w:trHeight w:val="209"/>
        </w:trPr>
        <w:tc>
          <w:tcPr>
            <w:tcW w:w="6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Investing activities:</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Acquisition of proved oil and gas properties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(31,258)</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(67,012)</w:t>
            </w: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the disposal of oil and gas properties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741</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3,041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Refund of advances to operators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971</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2,298</w:t>
            </w: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Development of oil and gas properties</w:t>
            </w:r>
          </w:p>
        </w:tc>
        <w:tc>
          <w:tcPr>
            <w:tcW w:w="16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(121,109)</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(63,113)</w:t>
            </w:r>
          </w:p>
        </w:tc>
        <w:tc>
          <w:tcPr>
            <w:tcW w:w="0" w:type="dxa"/>
            <w:vAlign w:val="bottom"/>
          </w:tcPr>
          <w:p>
            <w:pPr>
              <w:spacing w:after="0"/>
              <w:rPr>
                <w:sz w:val="1"/>
                <w:szCs w:val="1"/>
                <w:color w:val="auto"/>
              </w:rPr>
            </w:pPr>
          </w:p>
        </w:tc>
      </w:tr>
      <w:tr>
        <w:trPr>
          <w:trHeight w:val="210"/>
        </w:trPr>
        <w:tc>
          <w:tcPr>
            <w:tcW w:w="63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(150,655)</w:t>
            </w:r>
          </w:p>
        </w:tc>
        <w:tc>
          <w:tcPr>
            <w:tcW w:w="2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(124,786)</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Financing activities: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borrowings on credit facilities</w:t>
            </w:r>
          </w:p>
        </w:tc>
        <w:tc>
          <w:tcPr>
            <w:tcW w:w="1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16,000</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46,000</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Repayments of borrowings on credit facilities</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(46,000)</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8"/>
                <w:szCs w:val="18"/>
                <w:color w:val="auto"/>
              </w:rPr>
              <w:t>Partners’ contributions, net of change in contributions receivable</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20,074</w:t>
            </w:r>
          </w:p>
        </w:tc>
        <w:tc>
          <w:tcPr>
            <w:tcW w:w="0" w:type="dxa"/>
            <w:vAlign w:val="bottom"/>
          </w:tcPr>
          <w:p>
            <w:pPr>
              <w:spacing w:after="0"/>
              <w:rPr>
                <w:sz w:val="1"/>
                <w:szCs w:val="1"/>
                <w:color w:val="auto"/>
              </w:rPr>
            </w:pPr>
          </w:p>
        </w:tc>
      </w:tr>
      <w:tr>
        <w:trPr>
          <w:trHeight w:val="210"/>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in)/provided by financing activities</w:t>
            </w:r>
          </w:p>
        </w:tc>
        <w:tc>
          <w:tcPr>
            <w:tcW w:w="1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(29,916)</w:t>
            </w:r>
          </w:p>
        </w:tc>
        <w:tc>
          <w:tcPr>
            <w:tcW w:w="2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44,074</w:t>
            </w:r>
          </w:p>
        </w:tc>
        <w:tc>
          <w:tcPr>
            <w:tcW w:w="0" w:type="dxa"/>
            <w:vAlign w:val="bottom"/>
          </w:tcPr>
          <w:p>
            <w:pPr>
              <w:spacing w:after="0"/>
              <w:rPr>
                <w:sz w:val="1"/>
                <w:szCs w:val="1"/>
                <w:color w:val="auto"/>
              </w:rPr>
            </w:pPr>
          </w:p>
        </w:tc>
      </w:tr>
      <w:tr>
        <w:trPr>
          <w:trHeight w:val="210"/>
        </w:trPr>
        <w:tc>
          <w:tcPr>
            <w:tcW w:w="6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(decrease)/increase in cash</w:t>
            </w: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(909)</w:t>
            </w: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11,188</w:t>
            </w:r>
          </w:p>
        </w:tc>
        <w:tc>
          <w:tcPr>
            <w:tcW w:w="0" w:type="dxa"/>
            <w:vAlign w:val="bottom"/>
          </w:tcPr>
          <w:p>
            <w:pPr>
              <w:spacing w:after="0"/>
              <w:rPr>
                <w:sz w:val="1"/>
                <w:szCs w:val="1"/>
                <w:color w:val="auto"/>
              </w:rPr>
            </w:pPr>
          </w:p>
        </w:tc>
      </w:tr>
      <w:tr>
        <w:trPr>
          <w:trHeight w:val="216"/>
        </w:trPr>
        <w:tc>
          <w:tcPr>
            <w:tcW w:w="63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at beginning of period</w:t>
            </w:r>
          </w:p>
        </w:tc>
        <w:tc>
          <w:tcPr>
            <w:tcW w:w="1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7,319</w:t>
            </w:r>
          </w:p>
        </w:tc>
        <w:tc>
          <w:tcPr>
            <w:tcW w:w="2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2,638</w:t>
            </w:r>
          </w:p>
        </w:tc>
        <w:tc>
          <w:tcPr>
            <w:tcW w:w="0" w:type="dxa"/>
            <w:vAlign w:val="bottom"/>
          </w:tcPr>
          <w:p>
            <w:pPr>
              <w:spacing w:after="0"/>
              <w:rPr>
                <w:sz w:val="1"/>
                <w:szCs w:val="1"/>
                <w:color w:val="auto"/>
              </w:rPr>
            </w:pPr>
          </w:p>
        </w:tc>
      </w:tr>
      <w:tr>
        <w:trPr>
          <w:trHeight w:val="210"/>
        </w:trPr>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at end of period</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6,410</w:t>
            </w:r>
          </w:p>
        </w:tc>
        <w:tc>
          <w:tcPr>
            <w:tcW w:w="2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13,826</w:t>
            </w:r>
          </w:p>
        </w:tc>
        <w:tc>
          <w:tcPr>
            <w:tcW w:w="0" w:type="dxa"/>
            <w:vAlign w:val="bottom"/>
          </w:tcPr>
          <w:p>
            <w:pPr>
              <w:spacing w:after="0"/>
              <w:rPr>
                <w:sz w:val="1"/>
                <w:szCs w:val="1"/>
                <w:color w:val="auto"/>
              </w:rPr>
            </w:pPr>
          </w:p>
        </w:tc>
      </w:tr>
      <w:tr>
        <w:trPr>
          <w:trHeight w:val="20"/>
        </w:trPr>
        <w:tc>
          <w:tcPr>
            <w:tcW w:w="6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paid during the year for interest</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2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non cash investing activities:</w:t>
            </w:r>
          </w:p>
        </w:tc>
        <w:tc>
          <w:tcPr>
            <w:tcW w:w="1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Oil and natural gas property development costs in accrued expenses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15,757</w:t>
            </w:r>
          </w:p>
        </w:tc>
        <w:tc>
          <w:tcPr>
            <w:tcW w:w="2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561</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Acquired and assumed asset retirement obligations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633</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Revision of asset retirement costs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c>
          <w:tcPr>
            <w:tcW w:w="200" w:type="dxa"/>
            <w:vAlign w:val="bottom"/>
          </w:tcPr>
          <w:p>
            <w:pPr>
              <w:spacing w:after="0"/>
              <w:rPr>
                <w:sz w:val="18"/>
                <w:szCs w:val="18"/>
                <w:color w:val="auto"/>
              </w:rPr>
            </w:pPr>
          </w:p>
        </w:tc>
        <w:tc>
          <w:tcPr>
            <w:tcW w:w="26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32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Advances to operators applied to development of oil and natural gas properties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54,147</w:t>
            </w:r>
          </w:p>
        </w:tc>
        <w:tc>
          <w:tcPr>
            <w:tcW w:w="2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24,880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16"/>
          <w:szCs w:val="16"/>
          <w:color w:val="auto"/>
        </w:rPr>
        <w:t>The accompanying notes are an integral part to these condensed combined financial statements</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7" w:name="page8"/>
    <w:bookmarkEnd w:id="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(PREDECESSOR TO GRANITE RIDGE RESOURCES,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3" w:lineRule="exact"/>
        <w:rPr>
          <w:sz w:val="20"/>
          <w:szCs w:val="20"/>
          <w:color w:val="auto"/>
        </w:rPr>
      </w:pPr>
    </w:p>
    <w:p>
      <w:pPr>
        <w:ind w:left="700" w:hanging="650"/>
        <w:spacing w:after="0"/>
        <w:tabs>
          <w:tab w:leader="none" w:pos="7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and nature of operations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Organization</w:t>
      </w:r>
    </w:p>
    <w:p>
      <w:pPr>
        <w:spacing w:after="0" w:line="227" w:lineRule="exact"/>
        <w:rPr>
          <w:sz w:val="20"/>
          <w:szCs w:val="20"/>
          <w:color w:val="auto"/>
        </w:rPr>
      </w:pPr>
    </w:p>
    <w:p>
      <w:pPr>
        <w:jc w:val="both"/>
        <w:ind w:left="60" w:right="259"/>
        <w:spacing w:after="0" w:line="258" w:lineRule="auto"/>
        <w:rPr>
          <w:sz w:val="20"/>
          <w:szCs w:val="20"/>
          <w:color w:val="auto"/>
        </w:rPr>
      </w:pPr>
      <w:r>
        <w:rPr>
          <w:rFonts w:ascii="Times New Roman" w:cs="Times New Roman" w:eastAsia="Times New Roman" w:hAnsi="Times New Roman"/>
          <w:sz w:val="18"/>
          <w:szCs w:val="18"/>
          <w:color w:val="auto"/>
        </w:rPr>
        <w:t>Granite Ridge Resources, Inc. (“Granite Ridge” the “Company” or the “Successor”) is a Delaware corporation, initially formed in May 2022, whose common stock and warrants are listed and traded on the New York Stock Exchange (“NYSE”). The Company was created for the purpose of the Business Combination (as defined below), and following the Business Combination, for the purpose of purchasing non-operated oil and natural gas assets in multiple basins in North America, and realizing profits through participation in oil and natural gas wells.</w:t>
      </w:r>
    </w:p>
    <w:p>
      <w:pPr>
        <w:spacing w:after="0" w:line="183" w:lineRule="exact"/>
        <w:rPr>
          <w:sz w:val="20"/>
          <w:szCs w:val="20"/>
          <w:color w:val="auto"/>
        </w:rPr>
      </w:pPr>
    </w:p>
    <w:p>
      <w:pPr>
        <w:jc w:val="both"/>
        <w:ind w:left="60" w:right="259"/>
        <w:spacing w:after="0" w:line="261" w:lineRule="auto"/>
        <w:rPr>
          <w:sz w:val="20"/>
          <w:szCs w:val="20"/>
          <w:color w:val="auto"/>
        </w:rPr>
      </w:pPr>
      <w:r>
        <w:rPr>
          <w:rFonts w:ascii="Times New Roman" w:cs="Times New Roman" w:eastAsia="Times New Roman" w:hAnsi="Times New Roman"/>
          <w:sz w:val="18"/>
          <w:szCs w:val="18"/>
          <w:color w:val="auto"/>
        </w:rPr>
        <w:t>On October 24, 2022, the Business Combination closed and was accounted for as a reverse recapitalization and Grey Rock Energy Fund III (as defined below) has been determined to be the accounting acquirer and predecessor (as defined below). The information provided in this Quarterly Report on Form 10-Q only reflects the financial condition and results of operations of the Predecessor.</w:t>
      </w:r>
    </w:p>
    <w:p>
      <w:pPr>
        <w:spacing w:after="0" w:line="180" w:lineRule="exact"/>
        <w:rPr>
          <w:sz w:val="20"/>
          <w:szCs w:val="20"/>
          <w:color w:val="auto"/>
        </w:rPr>
      </w:pPr>
    </w:p>
    <w:p>
      <w:pPr>
        <w:jc w:val="both"/>
        <w:ind w:left="60" w:right="259"/>
        <w:spacing w:after="0" w:line="261" w:lineRule="auto"/>
        <w:rPr>
          <w:sz w:val="20"/>
          <w:szCs w:val="20"/>
          <w:color w:val="auto"/>
        </w:rPr>
      </w:pPr>
      <w:r>
        <w:rPr>
          <w:rFonts w:ascii="Times New Roman" w:cs="Times New Roman" w:eastAsia="Times New Roman" w:hAnsi="Times New Roman"/>
          <w:sz w:val="18"/>
          <w:szCs w:val="18"/>
          <w:color w:val="auto"/>
        </w:rPr>
        <w:t>The financial information for the Predecessor for such periods does not reflect the material changes to the business as a result of the Business Combination. Accordingly, the financial information for the Predecessor is not necessarily indicative of Granite Ridge’s results of operations, cash flows or financial position following the completion of the Business Combination.</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Nature of operations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Grey Rock Energy Fund III-A, LP (“Grey Rock III-A”) was formed on March 14, 2018 as a Delaware limited partnership and commenced operations on April 19, 2018. Grey Rock III-A was created for the purpose of purchasing non-operated oil and natural gas assets in multiple basins in North America, and realizing profits through participation in oil and natural gas wells.</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Grey Rock Energy Fund III-B Holdings, LP (“Grey Rock III-B Holdings”) was formed on March 14, 2018, as a Delaware limited partnership and commenced operations on April 19, 2018. Grey Rock III-B Holdings was created for the purpose of purchasing non-operated oil and natural gas assets in multiple basins in North America, realizing profits through participation in oil and natural gas wells, and granting net profits interest in oil and natural gas assets to Grey Rock III-B (as defined below), a related party, in accordance with its limited partnership agreement.</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Grey Rock Energy Fund III-B, LP (the “Grey Rock III-B”) was formed on March 14, 2018 as a Delaware limited partnership and commenced operations on April 19, 2018. Grey Rock III-B was created for the purpose of acquiring net profits interests in oil and natural gas assets from Grey Rock III-B Holdings, a related party, in multiple basins in North America, in accordance with its limited partnership agreement.</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Grey Rock Preferred Limited Partner III, LP (“Grey Rock PLP III”) was formed on March 14, 2018, as a Delaware limited partnership and commenced operations on April 19, 2018. Grey Rock PLP III was created for the purpose of holding limited partnership interests in Grey Rock III-B, a related party.</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Collectively, Grey Rock III-A, Grey Rock III-B Holdings, Grey Rock III-B and Grey Rock PLP III are known as the “Partnership”, “Grey Rock Energy Fund III”, “Fund III”, or “Predecessor”.</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8" w:name="page9"/>
    <w:bookmarkEnd w:id="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(PREDECESSOR TO GRANITE RIDGE RESOURCES,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07"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Grey Rock Energy Partners GP III-A, LP, a Delaware limited partnership (the “Fund III-A General Partner”), acts as general partner of Grey Rock III-A. Grey Rock Energy Partners GP III-B, LP, a Delaware limited partnership (the “Fund III-B General Partner”), acts as general partner of Grey Rock III-B Holdings and Grey Rock III-B. Grey Rock Energy Management, LLC, a Delaware limited liability company (the “Management Company”), serves as investment manager to the Partnership.</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term of the Partnership is up to nine years. The investment term is three years and may be extended by the General Partner, in its sole discretion, for an additional one-year term. The harvest period is four years and may be extended by the General Partner, in its sole discretion, for an additional one-year term, and thereafter, by the General Partner, with the consent of a majority-in- interest of the limited partners, for additional, successive one-year terms to allow for an orderly dissolution and liquidation of the Partnership.</w:t>
      </w:r>
    </w:p>
    <w:p>
      <w:pPr>
        <w:spacing w:after="0" w:line="183"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Partnership and certain other funds affiliated with Grey Rock formed GREP Holdings, LLC, a Delaware limited liability company (“GREP”), who entered into a business combination agreement (“BCA”) on May 16, 2022 with Executive Network Partnering Corporation (“ENPC”), a Delaware corporation and NYSE publicly traded special purpose acquisition company, Granite Ridge Resources, Inc., a Delaware corporation (“Granite Ridge”), ENPC Merger Sub, Inc., a Delaware corporation and a wholly-owned subsidiary of Granite Ridge (“ENPC Merger Sub”), and GREP Merger Sub, LLC, a Delaware limited liability company and a wholly-owned subsidiary of Granite Ridge (“GREP Merger Sub”), pursuant to which (i) ENPC Merger Sub merged with and into ENPC (the “ENPC Merger”), with ENPC surviving the ENPC Merger as a wholly-owned subsidiary of Granite Ridge; and (ii) GREP Merger Sub merged with and into GREP (the “GREP Merger”), with GREP surviving the GREP Merger as a wholly-owned subsidiary of Granite Ridge (the transactions contemplated by the foregoing clauses (i) and (ii), the “Business Combination”). The BCA provided that in connection with the Business Combination, the members of GREP would receive common stock of Granite Ridge in the business combination, valued at approximately $1.3 billion on May 16, 2022, upon the execution of the BCA. The Business Combination closed on October 24, 2022.</w:t>
      </w:r>
    </w:p>
    <w:p>
      <w:pPr>
        <w:spacing w:after="0" w:line="183" w:lineRule="exact"/>
        <w:rPr>
          <w:sz w:val="20"/>
          <w:szCs w:val="20"/>
          <w:color w:val="auto"/>
        </w:rPr>
      </w:pPr>
    </w:p>
    <w:p>
      <w:pPr>
        <w:ind w:left="700" w:hanging="650"/>
        <w:spacing w:after="0"/>
        <w:tabs>
          <w:tab w:leader="none" w:pos="7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Principles of Combination</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accompanying condensed combined financial statements include the accounts of Grey Rock III-A, Grey Rock III-B Holdings, Grey Rock III-B and Grey Rock PLP III all of which share common ownership and management. All inter-entity balances and transactions have been eliminated in combination.</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condensed combined balance sheet as of December 31, 2021 was derived from the audited combined financial statements, and the unaudited interim condensed combined financial statements as of September 30, 2022 and for the three and nine month periods ended September 30, 2022 and 2021, provided herein have been prepared in accordance with the instructions for the Securities and Exchange Commission’s (“SEC’s”) Form 10-Q and Article 10 of Regulation S-X.</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of America (“U.S. GAAP”) have been condensed or omitted pursuant to rules and regulations of the SEC. However, in the Partnership’s opinion, the disclosures made therein are adequate to make the information presented not misleading. The Partnership believes these condensed combined financial statements include all normal recurring adjustments necessary to fairly present the results of the interim periods. The condensed combined statements of income for the three and nine months ended September 30, 2022 and the condensed</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9" w:name="page10"/>
    <w:bookmarkEnd w:id="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(PREDECESSOR TO GRANITE RIDGE RESOURCES,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0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combined results of cash flows for the nine months ended September 30, 2022 are not necessarily indicative of the combined statements of income and results of cash flows that might be expected for the entire year. These condensed combined financial statements and the accompanying notes should be read in conjunction with the audited combined financial statements and the notes thereto for the year ended December 31, 2021. The Partnership operates in a single operating and reportable segment. Operating segments are defined as components of an enterprise for which separate financial information is evaluated regularly by the chief operating decision maker in deciding how to allocate resources and assess performance. The Partnership’s chief operating decision maker allocates resources and assesses performance based upon financial information at the Partnership level.</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Fair Value</w:t>
      </w:r>
    </w:p>
    <w:p>
      <w:pPr>
        <w:spacing w:after="0" w:line="225"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 xml:space="preserve">The Partnership has adopted and follows Accounting Standard Codification (“ASC”) 820, </w:t>
      </w:r>
      <w:r>
        <w:rPr>
          <w:rFonts w:ascii="Times New Roman" w:cs="Times New Roman" w:eastAsia="Times New Roman" w:hAnsi="Times New Roman"/>
          <w:sz w:val="18"/>
          <w:szCs w:val="18"/>
          <w:i w:val="1"/>
          <w:iCs w:val="1"/>
          <w:color w:val="auto"/>
        </w:rPr>
        <w:t>Fair Value Measurements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Disclosures</w:t>
      </w:r>
      <w:r>
        <w:rPr>
          <w:rFonts w:ascii="Times New Roman" w:cs="Times New Roman" w:eastAsia="Times New Roman" w:hAnsi="Times New Roman"/>
          <w:sz w:val="18"/>
          <w:szCs w:val="18"/>
          <w:color w:val="auto"/>
        </w:rPr>
        <w:t>, for measurement and disclosures about fair value. ASC 820 establishes a framework for measuring fair value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 GAAP, and expands disclosures about fair value measurements. To increase consistency and comparability in fair value measurements and related disclosures, ASC 820 establishes a fair value hierarchy which prioritizes the inputs to valuation techniques used to measure fair value into three (3) broad levels. The fair value hierarchy gives the highest priority to quoted prices (unadjusted) in active markets for identical assets or liabilities and the lowest priority to unobservable inputs. The three (3) levels of fair value hierarchy defined by ASC 820 are:</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Level 3 — Inputs reflect management’s best estimate of what market participants would use in pricing the asset or liability at the measurement date. Consideration is given to the risk inherent in the valuation technique and the risk inherent in the inputs to the model. Valuation of instruments includes unobservable inputs to the valuation methodology that are significant to the measurement of fair value of assets or liabilities.</w:t>
      </w:r>
    </w:p>
    <w:p>
      <w:pPr>
        <w:spacing w:after="0" w:line="180"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As defined by ASC 820, the fair value of a financial instrument is the amount at which the instrument could be exchanged in a current transaction between willing parties, other than in a forced or liquidation sale, which was further clarified as the price that would be received to sell an asset or paid to transfer a liability (“an exit price”) in an orderly transaction between market participants at the measurement date. The carrying amounts of the Partnership’s financial assets and liabilities, such as due from related parties, revenue receivable, related party payable, accounts payable and accrued expenses, approximate their fair values because of the short maturity of these instruments.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Receivable</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Revenue receivable is comprised of accrued natural gas and crude oil sales. The operators remit payment for production directly to the Partnership. There have been no credit losses to date. In the event of complete non-performance by the Partnership’s customers, the maximum exposure to the Partnership is the outstanding revenue receivable balance at the date of non-performance. The Partnership writes off specific accounts receivable when they become uncollectible. For the three and nine months ended September 30, 2022 and 2021, the Partnership had no bad debt expense, and did not record an allowance for doubtful accounts.</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0" w:name="page11"/>
    <w:bookmarkEnd w:id="1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(PREDECESSOR TO GRANITE RIDGE RESOURCES,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Other Assets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Other assets are comprised of payments made in advance for services deemed to have future value to the Partnership and fees that were capitalized in connection to the Business Combination. Capitalized fees were $4,098 thousand and zero as of September 30, 2022 and December 31, 2021, respectively. Prepaid expenses were zero and $70 thousand as of September 30, 2022 and December 31, 2021, respectively.</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Partnership’s revenues are primarily derived from its interests in the sale of oil and natural gas production. The Partnership recognizes revenue from its interests in the sales of oil and natural gas in the period that its performance obligations are satisfied.</w:t>
      </w:r>
    </w:p>
    <w:p>
      <w:pPr>
        <w:spacing w:after="0" w:line="17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Performance obligations are satisfied when the customer obtains control of product and when the Partnership has no further obligations to perform related to the sale. The Partnership receives payment from the sale of oil and natural gas production from one to three months after delivery. The transaction price is variable as it is based on market prices for oil and natural gas, less revenue deductions such as gathering, transportation and compression costs. Management has determined that the variable revenue constraint is overcome at the date control passes to the customer since the variable consideration to be received can be reasonably estimated based on daily market prices and historical transportation charges. At the end of each month, amounts due from customers are accrued in revenue receivable in the balance sheets. Variances between the Partnership’s estimated revenue and actual payments are recorded in the month the payment is received; however, differences have been and are insignificant.</w:t>
      </w:r>
    </w:p>
    <w:p>
      <w:pPr>
        <w:spacing w:after="0" w:line="18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Partnership does not disclose the value of unsatisfied performance obligations under its contracts with customers as it applies the practical expedient in accordance with ASC 606. The expedient, as described in ASC 606-10-50-14(a), applies to variable consideration that is recognized as control of the product is transferred to the customer. Since each unit of product represents a separate performance obligation, future volumes are wholly unsatisfied, and disclosure of the transaction price allocated to remaining performance obligations is not required.</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 wellhead imbalance liability equal to the Partnership’s share is recorded to the extent that the Partnership’s well operators have sold volumes in excess of its share of remaining reserves in an underlying property. However, in each of the three and nine months ended September 30, 2022 and 2021, the Partnership’s oil and natural gas production was in balance, meaning its cumulative portion of oil and natural gas production taken and sold from wells in which it has an interest equaled its entitled interest in oil and natural gas production from those wells.</w:t>
      </w:r>
    </w:p>
    <w:p>
      <w:pPr>
        <w:spacing w:after="0" w:line="183"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17"/>
          <w:szCs w:val="17"/>
          <w:color w:val="auto"/>
        </w:rPr>
        <w:t>Non-operated crude oil and natural gas revenues – The Partnership’s proportionate share of production from non-operated properties is generally marketed at the discretion of the operators. For non-operated properties, the Partnership receives a net payment from the operator representing its proportionate share of sales proceeds which is net of transportation and production tax costs incurred by the operator, if any. Such non-operated revenues are recognized at the net of transportation costs which is the amount of proceeds to be received by the Partnership during the month in which production occurs and it is probable the Partnership will collect the consideration it is entitled to receive. Proceeds are generally received by the Partnership within one to three months after the month in which production occurs. The Partnership’s disaggregated revenue has two revenue sources, which are oil sales, and natural gas and NGL sales. Oil sales for the three months ended September 30, 2022 and 2021 were approximately $61,607 thousand and $40,376 thousand, respectively. Natural gas and NGL sales for the three months ended September 30, 2022 and 2021 were approximately $28,587 thousand and $15,341 thousand, respectively. Oil sales for the nine months ended September 30, 2022 and 2021 were approximately $197,332</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1" w:name="page12"/>
    <w:bookmarkEnd w:id="1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(PREDECESSOR TO GRANITE RIDGE RESOURCES,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thousand and $104,700 thousand, respectively. Natural gas and NGL sales for the nine months ended September 30, 2022 and 2021 were approximately $65,931 thousand and $37,932 thousand, respectively.</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Substantially all of the Partnership’s oil and natural gas sales currently come from four geographic areas in the United States: the Eagle Ford Basin (Texas), the Permian Basin (Texas), the Denver-Julesburg “DJ” Basin (Colorado) and the Bakken Basin (Montana/North Dakota). The following tables present the disaggregation of the Partnership’s oil revenues and natural gas and NGL revenues by basin for the three and nine months ended September 30, 2022 and 2021.</w:t>
      </w:r>
    </w:p>
    <w:p>
      <w:pPr>
        <w:spacing w:after="0" w:line="187"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0" w:type="dxa"/>
            <w:vAlign w:val="bottom"/>
            <w:tcBorders>
              <w:bottom w:val="single" w:sz="8" w:color="auto"/>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820" w:type="dxa"/>
            <w:vAlign w:val="bottom"/>
            <w:tcBorders>
              <w:bottom w:val="single" w:sz="8" w:color="auto"/>
            </w:tcBorders>
            <w:gridSpan w:val="7"/>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31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Eagle Ford</w:t>
            </w:r>
          </w:p>
        </w:tc>
        <w:tc>
          <w:tcPr>
            <w:tcW w:w="120" w:type="dxa"/>
            <w:vAlign w:val="bottom"/>
          </w:tcPr>
          <w:p>
            <w:pPr>
              <w:spacing w:after="0"/>
              <w:rPr>
                <w:sz w:val="15"/>
                <w:szCs w:val="15"/>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Permian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Denver-Julesberg</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Bakken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11,891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65,997</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8,271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1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Eagle Ford</w:t>
            </w:r>
          </w:p>
        </w:tc>
        <w:tc>
          <w:tcPr>
            <w:tcW w:w="120" w:type="dxa"/>
            <w:vAlign w:val="bottom"/>
          </w:tcPr>
          <w:p>
            <w:pPr>
              <w:spacing w:after="0"/>
              <w:rPr>
                <w:sz w:val="15"/>
                <w:szCs w:val="15"/>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Permian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Denver-Julesberg</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Bakken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39,252</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10,726</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1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Eagle Ford</w:t>
            </w:r>
          </w:p>
        </w:tc>
        <w:tc>
          <w:tcPr>
            <w:tcW w:w="120" w:type="dxa"/>
            <w:vAlign w:val="bottom"/>
          </w:tcPr>
          <w:p>
            <w:pPr>
              <w:spacing w:after="0"/>
              <w:rPr>
                <w:sz w:val="15"/>
                <w:szCs w:val="15"/>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Permian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Denver-Julesberg</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Bakken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35,978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186,853</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30,370</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10,062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31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20" w:type="dxa"/>
            <w:vAlign w:val="bottom"/>
            <w:tcBorders>
              <w:bottom w:val="single" w:sz="8" w:color="auto"/>
            </w:tcBorders>
            <w:gridSpan w:val="7"/>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316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00" w:type="dxa"/>
            <w:vAlign w:val="bottom"/>
            <w:gridSpan w:val="2"/>
          </w:tcPr>
          <w:p>
            <w:pPr>
              <w:ind w:left="100"/>
              <w:spacing w:after="0"/>
              <w:rPr>
                <w:sz w:val="20"/>
                <w:szCs w:val="20"/>
                <w:color w:val="auto"/>
              </w:rPr>
            </w:pPr>
            <w:r>
              <w:rPr>
                <w:rFonts w:ascii="Times New Roman" w:cs="Times New Roman" w:eastAsia="Times New Roman" w:hAnsi="Times New Roman"/>
                <w:sz w:val="14"/>
                <w:szCs w:val="14"/>
                <w:b w:val="1"/>
                <w:bCs w:val="1"/>
                <w:color w:val="auto"/>
              </w:rPr>
              <w:t>Eagle Ford</w:t>
            </w:r>
          </w:p>
        </w:tc>
        <w:tc>
          <w:tcPr>
            <w:tcW w:w="120" w:type="dxa"/>
            <w:vAlign w:val="bottom"/>
          </w:tcPr>
          <w:p>
            <w:pPr>
              <w:spacing w:after="0"/>
              <w:rPr>
                <w:sz w:val="15"/>
                <w:szCs w:val="15"/>
                <w:color w:val="auto"/>
              </w:rPr>
            </w:pPr>
          </w:p>
        </w:tc>
        <w:tc>
          <w:tcPr>
            <w:tcW w:w="136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Permian</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Denver-Julesberg</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ind w:right="319"/>
              <w:spacing w:after="0"/>
              <w:rPr>
                <w:sz w:val="20"/>
                <w:szCs w:val="20"/>
                <w:color w:val="auto"/>
              </w:rPr>
            </w:pPr>
            <w:r>
              <w:rPr>
                <w:rFonts w:ascii="Times New Roman" w:cs="Times New Roman" w:eastAsia="Times New Roman" w:hAnsi="Times New Roman"/>
                <w:sz w:val="14"/>
                <w:szCs w:val="14"/>
                <w:b w:val="1"/>
                <w:bCs w:val="1"/>
                <w:color w:val="auto"/>
              </w:rPr>
              <w:t>Bakken</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97,926</w:t>
            </w:r>
          </w:p>
        </w:tc>
        <w:tc>
          <w:tcPr>
            <w:tcW w:w="200" w:type="dxa"/>
            <w:vAlign w:val="bottom"/>
            <w:shd w:val="clear" w:color="auto" w:fill="CCEEFF"/>
          </w:tcPr>
          <w:p>
            <w:pPr>
              <w:spacing w:after="0"/>
              <w:rPr>
                <w:sz w:val="18"/>
                <w:szCs w:val="18"/>
                <w:color w:val="auto"/>
              </w:rPr>
            </w:pPr>
          </w:p>
        </w:tc>
        <w:tc>
          <w:tcPr>
            <w:tcW w:w="1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w w:val="70"/>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19,801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9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Income Taxes</w:t>
      </w:r>
    </w:p>
    <w:p>
      <w:pPr>
        <w:spacing w:after="0" w:line="16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Because the Partnership is a limited partnership, the income or loss of the Partnership for federal and state income tax purposes is generally allocated to the partners in accordance with the Partnership’s formation documents, and it is the responsibility of the partners to report their share of taxable income or loss on their separate income tax returns. Accordingly, no recognition has been given to federal or state income taxes in the accompanying condensed combined financial statements.</w:t>
      </w:r>
    </w:p>
    <w:p>
      <w:pPr>
        <w:spacing w:after="0" w:line="116"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Partnership is required to determine whether its tax positions are more likely than not to be sustained upon examination by the applicable taxing authority, including resolution of any related appeals or litigation processes, based on the technical merits of the position. The tax benefit recognized is measured as the largest amount of benefit that has a greater than fifty percent likelihood of being realized upon ultimate settlement with the relevant taxing authority. De-recognition of a tax benefit previously recognized results in the Partnership recording a tax liability that reduces ending partners’ capital. Based on its analysis, the Partnership has determined that it has not incurred any liability for unrecognized tax benefits as of September 30, 2022 and December 31, 2021. However, the Partnership’s conclusions may be subject to review and adjustment at a later date based on factors including, but not limited to, on-going analyses of and changes to tax laws, regulations and interpretations thereof.</w:t>
      </w:r>
    </w:p>
    <w:p>
      <w:pPr>
        <w:spacing w:after="0" w:line="1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Partnership recognizes interest and penalties related to unrecognized tax benefits in interest expense and other expenses, respectively. No interest or penalties were recognized for the three and nine months ended September 30, 2022 and 2021.</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2" w:name="page13"/>
    <w:bookmarkEnd w:id="1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(PREDECESSOR TO GRANITE RIDGE RESOURCES,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0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The Partnership files an income tax return in the U.S. federal jurisdiction, and may file income tax returns in various U.S. states and foreign jurisdictions. Generally, the Partnership is subject to income tax examinations by major taxing authorities during the period since inception.</w:t>
      </w:r>
    </w:p>
    <w:p>
      <w:pPr>
        <w:spacing w:after="0" w:line="108"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Partnership may be subject to potential examination by U.S. federal, U.S. states or foreign jurisdiction authorities in the areas of income taxes. These potential examinations may include questioning the timing and amount of deductions, the nexus of income among various tax jurisdictions and compliance with U.S. federal, U.S. state and foreign tax laws. The Partnership’s management does not expect that the total amount of unrecognized tax benefits will materially change over the next twelve months.</w:t>
      </w:r>
    </w:p>
    <w:p>
      <w:pPr>
        <w:spacing w:after="0" w:line="11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Reclassifications</w:t>
      </w:r>
    </w:p>
    <w:p>
      <w:pPr>
        <w:spacing w:after="0" w:line="14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Certain reclassifications have been made to prior period amounts to conform to the current period presentation.</w:t>
      </w:r>
    </w:p>
    <w:p>
      <w:pPr>
        <w:spacing w:after="0" w:line="15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60"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preparation of the condensed combined financial statements in conformity with GAAP requires management to make estimates and assumptions that affect the reported amounts of assets and liabilities at the date of the condensed combined financial statements and the reported amounts of revenues and expenses during the reporting period. Significant estimates of reserves are used to determine depletion and to conduct impairment analysis. Estimating reserves is inherently uncertain, including the projection of future rates of production and the timing of development expenditures. Additional significant estimates include impairment testing, derivative instruments and hedging activity, and asset retirement obligations. Actual results could differ from those estimates.</w:t>
      </w:r>
    </w:p>
    <w:p>
      <w:pPr>
        <w:spacing w:after="0" w:line="1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Recently Issued and Applicable Accounting Pronouncements</w:t>
      </w:r>
    </w:p>
    <w:p>
      <w:pPr>
        <w:spacing w:after="0" w:line="160"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FASB issued ASU No. 2016-02, “Leases (Topic 842)” which requires all leases greater than one year to be recognized as assets and liabilities. This ASU also expands the required quantitative and qualitative disclosures surrounding leases. Oil and gas leases are excluded from the guidance. The Partnership adopted this ASU on January 1, 2022, and there was no material impacts to the condensed combined financial statements.</w:t>
      </w:r>
    </w:p>
    <w:p>
      <w:pPr>
        <w:spacing w:after="0" w:line="180" w:lineRule="exact"/>
        <w:rPr>
          <w:sz w:val="20"/>
          <w:szCs w:val="20"/>
          <w:color w:val="auto"/>
        </w:rPr>
      </w:pPr>
    </w:p>
    <w:p>
      <w:pPr>
        <w:ind w:left="60" w:right="179"/>
        <w:spacing w:after="0" w:line="261" w:lineRule="auto"/>
        <w:rPr>
          <w:sz w:val="20"/>
          <w:szCs w:val="20"/>
          <w:color w:val="auto"/>
        </w:rPr>
      </w:pPr>
      <w:r>
        <w:rPr>
          <w:rFonts w:ascii="Times New Roman" w:cs="Times New Roman" w:eastAsia="Times New Roman" w:hAnsi="Times New Roman"/>
          <w:sz w:val="18"/>
          <w:szCs w:val="18"/>
          <w:color w:val="auto"/>
        </w:rPr>
        <w:t>The FASB issued ASU No. 2016-13, “Financial Instruments — Credit Losses (Topic 326): Measurement of Credit Losses on Financial Instruments” which introduces guidance for estimating credit losses on certain types of financial instruments based on expected losses and the timing of the recognition of such losses. This guidance becomes effective beginning on January 1, 2023, however, the impact is not expected to be material.</w:t>
      </w:r>
    </w:p>
    <w:p>
      <w:pPr>
        <w:spacing w:after="0" w:line="176" w:lineRule="exact"/>
        <w:rPr>
          <w:sz w:val="20"/>
          <w:szCs w:val="20"/>
          <w:color w:val="auto"/>
        </w:rPr>
      </w:pPr>
    </w:p>
    <w:p>
      <w:pPr>
        <w:ind w:left="700" w:hanging="650"/>
        <w:spacing w:after="0"/>
        <w:tabs>
          <w:tab w:leader="none" w:pos="7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Derivative instruments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From time to time, the Partnership may utilize derivative contracts in connection with its oil and natural gas operations to provide an economic hedge of the Partnership’s exposure to commodity price risk associated with anticipated future oil and natural gas production. The Partnership does not hold or issue derivative financial instruments for trading purposes. These derivative contracts consist of fixed price collar options and producer 3-way option contracts. The Partnership typically hedges approximately 50% to 75% of expected oil and natural gas production from the underlying entities for 12 to 24 months in the future. The Partnership’s derivative activities and exposure to derivative contracts are classified by the following primary underlying risk of commodity prices. In addition to its primary underlying risk, the Partnership is also subject to additional counterparty risk due to the inability of its counterparties to meet the terms of their contracts.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3" w:name="page14"/>
    <w:bookmarkEnd w:id="1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(PREDECESSOR TO GRANITE RIDGE RESOURCES,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Derivative Contracts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Partnership has not designated its derivative instruments as hedges for accounting purposes. Cash and non-cash changes in fair value are included in gain or loss on derivative contracts in the condensed combined statements of income. Derivative assets are included within current and noncurrent assets in the condensed combined balance sheets as of September 30, 2022. Derivative liabilities are included within current liabilities in the condensed combined balance sheets as of September 30, 2022. Derivative assets and liabilities are included within current and noncurrent liabilities in the condensed combined balance sheets as of December 31, 2021.</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Collar and Producer 3-way Option Contracts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 collar option is established with the sale of a short call option and the purchase of a long put option set to expire at a predetermined date in the future. The options give the owner the right but not the obligation to exercise the option at the expiration date.</w:t>
      </w:r>
    </w:p>
    <w:p>
      <w:pPr>
        <w:spacing w:after="0" w:line="176"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A producer 3-way contract, like a collar option, is established with the sale of a short call option and the purchase of a long put option set to expire at a predetermined date in the future. However, the producer 3-way contract also includes the sale of a short put option set to expire at a predetermined date in the future. The options give the owner the right but not the obligation to exercise the option at the expiration date.</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The fair value of open collar options and producer 3-way contracts reported in the condensed combined balance sheets may differ from that which would be realized in the event the Partnership terminated its position in the contract. Risks may arise as a result of the failure of the counterparty to the option contract to comply with the terms of the option contract. The loss incurred by the failure of counterparties is generally limited to the aggregate fair value of option contracts in an unrealized gain position as well as any collateral posted with the counterparty.</w:t>
      </w:r>
    </w:p>
    <w:p>
      <w:pPr>
        <w:spacing w:after="0" w:line="18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The Partnership considers the creditworthiness of each counterparty to an option contract in evaluating potential credit risk.</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Additionally, risks may arise from unanticipated movements in the fair value of the underlying investments.</w:t>
      </w:r>
    </w:p>
    <w:p>
      <w:pPr>
        <w:spacing w:after="0" w:line="20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Partnership has master netting agreements on individual derivative instruments with certain counterparties and therefore certain amounts may be presented on a net basis in the condensed combined balance sheets.</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Volume of Derivative Activities</w:t>
      </w:r>
    </w:p>
    <w:p>
      <w:pPr>
        <w:spacing w:after="0" w:line="22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At September 30, 2022, the volume of the Partnership’s derivative activities based on their volume (crude oil is presented in Bbl and natural gas is presented in Mcf) and contract prices, categorized by primary underlying risk, are as follows: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94"/>
        </w:trPr>
        <w:tc>
          <w:tcPr>
            <w:tcW w:w="18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34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Type of Contract</w:t>
            </w:r>
          </w:p>
        </w:tc>
        <w:tc>
          <w:tcPr>
            <w:tcW w:w="160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(Volume/Month)</w:t>
            </w:r>
          </w:p>
        </w:tc>
        <w:tc>
          <w:tcPr>
            <w:tcW w:w="3100" w:type="dxa"/>
            <w:vAlign w:val="bottom"/>
            <w:gridSpan w:val="5"/>
          </w:tcPr>
          <w:p>
            <w:pPr>
              <w:ind w:left="1060"/>
              <w:spacing w:after="0"/>
              <w:rPr>
                <w:sz w:val="20"/>
                <w:szCs w:val="20"/>
                <w:color w:val="auto"/>
              </w:rPr>
            </w:pPr>
            <w:r>
              <w:rPr>
                <w:rFonts w:ascii="Times New Roman" w:cs="Times New Roman" w:eastAsia="Times New Roman" w:hAnsi="Times New Roman"/>
                <w:sz w:val="14"/>
                <w:szCs w:val="14"/>
                <w:b w:val="1"/>
                <w:bCs w:val="1"/>
                <w:color w:val="auto"/>
              </w:rPr>
              <w:t>Contract Prices</w:t>
            </w:r>
          </w:p>
        </w:tc>
        <w:tc>
          <w:tcPr>
            <w:tcW w:w="0" w:type="dxa"/>
            <w:vAlign w:val="bottom"/>
          </w:tcPr>
          <w:p>
            <w:pPr>
              <w:spacing w:after="0"/>
              <w:rPr>
                <w:sz w:val="1"/>
                <w:szCs w:val="1"/>
                <w:color w:val="auto"/>
              </w:rPr>
            </w:pPr>
          </w:p>
        </w:tc>
      </w:tr>
      <w:tr>
        <w:trPr>
          <w:trHeight w:val="149"/>
        </w:trPr>
        <w:tc>
          <w:tcPr>
            <w:tcW w:w="1880" w:type="dxa"/>
            <w:vAlign w:val="bottom"/>
            <w:gridSpan w:val="2"/>
            <w:vMerge w:val="continue"/>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700" w:type="dxa"/>
            <w:vAlign w:val="bottom"/>
            <w:tcBorders>
              <w:top w:val="single" w:sz="8" w:color="auto"/>
            </w:tcBorders>
            <w:gridSpan w:val="3"/>
          </w:tcPr>
          <w:p>
            <w:pPr>
              <w:ind w:left="480"/>
              <w:spacing w:after="0" w:line="149" w:lineRule="exact"/>
              <w:rPr>
                <w:sz w:val="20"/>
                <w:szCs w:val="20"/>
                <w:color w:val="auto"/>
              </w:rPr>
            </w:pPr>
            <w:r>
              <w:rPr>
                <w:rFonts w:ascii="Times New Roman" w:cs="Times New Roman" w:eastAsia="Times New Roman" w:hAnsi="Times New Roman"/>
                <w:sz w:val="14"/>
                <w:szCs w:val="14"/>
                <w:b w:val="1"/>
                <w:bCs w:val="1"/>
                <w:color w:val="auto"/>
              </w:rPr>
              <w:t>Range</w:t>
            </w:r>
          </w:p>
        </w:tc>
        <w:tc>
          <w:tcPr>
            <w:tcW w:w="1380" w:type="dxa"/>
            <w:vAlign w:val="bottom"/>
            <w:tcBorders>
              <w:top w:val="single" w:sz="8" w:color="auto"/>
            </w:tcBorders>
          </w:tcPr>
          <w:p>
            <w:pPr>
              <w:ind w:left="80"/>
              <w:spacing w:after="0" w:line="149" w:lineRule="exact"/>
              <w:rPr>
                <w:sz w:val="20"/>
                <w:szCs w:val="20"/>
                <w:color w:val="auto"/>
              </w:rPr>
            </w:pPr>
            <w:r>
              <w:rPr>
                <w:rFonts w:ascii="Times New Roman" w:cs="Times New Roman" w:eastAsia="Times New Roman" w:hAnsi="Times New Roman"/>
                <w:sz w:val="14"/>
                <w:szCs w:val="14"/>
                <w:b w:val="1"/>
                <w:bCs w:val="1"/>
                <w:color w:val="auto"/>
              </w:rPr>
              <w:t>Weighted Average</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16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Oct 2022 – Dec 2023</w:t>
            </w:r>
          </w:p>
        </w:tc>
        <w:tc>
          <w:tcPr>
            <w:tcW w:w="220" w:type="dxa"/>
            <w:vAlign w:val="bottom"/>
            <w:tcBorders>
              <w:top w:val="single" w:sz="8" w:color="CCEEFF"/>
            </w:tcBorders>
            <w:shd w:val="clear" w:color="auto" w:fill="CCEEFF"/>
          </w:tcPr>
          <w:p>
            <w:pPr>
              <w:spacing w:after="0"/>
              <w:rPr>
                <w:sz w:val="18"/>
                <w:szCs w:val="18"/>
                <w:color w:val="auto"/>
              </w:rPr>
            </w:pPr>
          </w:p>
        </w:tc>
        <w:tc>
          <w:tcPr>
            <w:tcW w:w="212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Producer 3-way (crude oil)</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34,413 – 612</w:t>
            </w:r>
          </w:p>
        </w:tc>
        <w:tc>
          <w:tcPr>
            <w:tcW w:w="22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$113.10 – $40.00</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$75.16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Oct 2022 – Dec 2022</w:t>
            </w: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Collar (crude oil)</w:t>
            </w:r>
          </w:p>
        </w:tc>
        <w:tc>
          <w:tcPr>
            <w:tcW w:w="16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color w:val="auto"/>
                <w:w w:val="99"/>
              </w:rPr>
              <w:t>33,886 – 5,448</w:t>
            </w:r>
          </w:p>
        </w:tc>
        <w:tc>
          <w:tcPr>
            <w:tcW w:w="1700" w:type="dxa"/>
            <w:vAlign w:val="bottom"/>
            <w:gridSpan w:val="3"/>
          </w:tcPr>
          <w:p>
            <w:pPr>
              <w:jc w:val="center"/>
              <w:ind w:right="320"/>
              <w:spacing w:after="0"/>
              <w:rPr>
                <w:sz w:val="20"/>
                <w:szCs w:val="20"/>
                <w:color w:val="auto"/>
              </w:rPr>
            </w:pPr>
            <w:r>
              <w:rPr>
                <w:rFonts w:ascii="Times New Roman" w:cs="Times New Roman" w:eastAsia="Times New Roman" w:hAnsi="Times New Roman"/>
                <w:sz w:val="18"/>
                <w:szCs w:val="18"/>
                <w:color w:val="auto"/>
                <w:w w:val="99"/>
              </w:rPr>
              <w:t>$112.75 – $85.00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$97.24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20" w:type="dxa"/>
            <w:vAlign w:val="bottom"/>
            <w:gridSpan w:val="4"/>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Nov 2022 – Mar 2023   Producer 3-way (natural gas)</w:t>
            </w:r>
          </w:p>
        </w:tc>
        <w:tc>
          <w:tcPr>
            <w:tcW w:w="1600" w:type="dxa"/>
            <w:vAlign w:val="bottom"/>
            <w:gridSpan w:val="2"/>
            <w:shd w:val="clear" w:color="auto" w:fill="CCEEFF"/>
          </w:tcPr>
          <w:p>
            <w:pPr>
              <w:jc w:val="center"/>
              <w:ind w:right="220"/>
              <w:spacing w:after="0"/>
              <w:rPr>
                <w:sz w:val="20"/>
                <w:szCs w:val="20"/>
                <w:color w:val="auto"/>
              </w:rPr>
            </w:pPr>
            <w:r>
              <w:rPr>
                <w:rFonts w:ascii="Times New Roman" w:cs="Times New Roman" w:eastAsia="Times New Roman" w:hAnsi="Times New Roman"/>
                <w:sz w:val="18"/>
                <w:szCs w:val="18"/>
                <w:color w:val="auto"/>
              </w:rPr>
              <w:t>128,912 – 3,813</w:t>
            </w:r>
          </w:p>
        </w:tc>
        <w:tc>
          <w:tcPr>
            <w:tcW w:w="1700" w:type="dxa"/>
            <w:vAlign w:val="bottom"/>
            <w:gridSpan w:val="3"/>
            <w:shd w:val="clear" w:color="auto" w:fill="CCEEFF"/>
          </w:tcPr>
          <w:p>
            <w:pPr>
              <w:jc w:val="center"/>
              <w:ind w:right="340"/>
              <w:spacing w:after="0"/>
              <w:rPr>
                <w:sz w:val="20"/>
                <w:szCs w:val="20"/>
                <w:color w:val="auto"/>
              </w:rPr>
            </w:pPr>
            <w:r>
              <w:rPr>
                <w:rFonts w:ascii="Times New Roman" w:cs="Times New Roman" w:eastAsia="Times New Roman" w:hAnsi="Times New Roman"/>
                <w:sz w:val="18"/>
                <w:szCs w:val="18"/>
                <w:color w:val="auto"/>
              </w:rPr>
              <w:t>$8.44 – $3.00</w:t>
            </w:r>
          </w:p>
        </w:tc>
        <w:tc>
          <w:tcPr>
            <w:tcW w:w="13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$5.13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Nov 2022 – Jun 2023</w:t>
            </w:r>
          </w:p>
        </w:tc>
        <w:tc>
          <w:tcPr>
            <w:tcW w:w="23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w w:val="99"/>
              </w:rPr>
              <w:t>Collar (natural gas)</w:t>
            </w:r>
          </w:p>
        </w:tc>
        <w:tc>
          <w:tcPr>
            <w:tcW w:w="16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color w:val="auto"/>
              </w:rPr>
              <w:t>90,941 – 11,036</w:t>
            </w:r>
          </w:p>
        </w:tc>
        <w:tc>
          <w:tcPr>
            <w:tcW w:w="1700" w:type="dxa"/>
            <w:vAlign w:val="bottom"/>
            <w:gridSpan w:val="3"/>
          </w:tcPr>
          <w:p>
            <w:pPr>
              <w:jc w:val="center"/>
              <w:ind w:right="340"/>
              <w:spacing w:after="0"/>
              <w:rPr>
                <w:sz w:val="20"/>
                <w:szCs w:val="20"/>
                <w:color w:val="auto"/>
              </w:rPr>
            </w:pPr>
            <w:r>
              <w:rPr>
                <w:rFonts w:ascii="Times New Roman" w:cs="Times New Roman" w:eastAsia="Times New Roman" w:hAnsi="Times New Roman"/>
                <w:sz w:val="18"/>
                <w:szCs w:val="18"/>
                <w:color w:val="auto"/>
              </w:rPr>
              <w:t>$9.05 – $2.90</w:t>
            </w:r>
          </w:p>
        </w:tc>
        <w:tc>
          <w:tcPr>
            <w:tcW w:w="13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$5.48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57"/>
        </w:trPr>
        <w:tc>
          <w:tcPr>
            <w:tcW w:w="166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1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tcBorders>
              <w:top w:val="single" w:sz="8" w:color="auto"/>
            </w:tcBorders>
          </w:tcPr>
          <w:p>
            <w:pPr>
              <w:jc w:val="right"/>
              <w:ind w:right="953"/>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16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14" w:name="page15"/>
    <w:bookmarkEnd w:id="1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(PREDECESSOR TO GRANITE RIDGE RESOURCES,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0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Impact of Derivatives on the Condensed Combined Balance Sheets and Condensed Combined Statements of Income.</w:t>
      </w:r>
    </w:p>
    <w:p>
      <w:pPr>
        <w:spacing w:after="0" w:line="227"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identifies the fair value amounts of derivative instruments included in the accompanying condensed combined balance sheets as derivative assets and liabilities categorized by primary underlying risk, at September 30, 2022.</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2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900" w:type="dxa"/>
            <w:vAlign w:val="bottom"/>
            <w:tcBorders>
              <w:bottom w:val="single" w:sz="8" w:color="auto"/>
            </w:tcBorders>
            <w:gridSpan w:val="4"/>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92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0" w:type="dxa"/>
            <w:vAlign w:val="bottom"/>
          </w:tcPr>
          <w:p>
            <w:pPr>
              <w:spacing w:after="0"/>
              <w:rPr>
                <w:sz w:val="1"/>
                <w:szCs w:val="1"/>
                <w:color w:val="auto"/>
              </w:rPr>
            </w:pPr>
          </w:p>
        </w:tc>
      </w:tr>
      <w:tr>
        <w:trPr>
          <w:trHeight w:val="142"/>
        </w:trPr>
        <w:tc>
          <w:tcPr>
            <w:tcW w:w="328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1900" w:type="dxa"/>
            <w:vAlign w:val="bottom"/>
            <w:tcBorders>
              <w:bottom w:val="single" w:sz="8" w:color="auto"/>
            </w:tcBorders>
            <w:gridSpan w:val="4"/>
          </w:tcPr>
          <w:p>
            <w:pPr>
              <w:jc w:val="right"/>
              <w:ind w:right="438"/>
              <w:spacing w:after="0" w:line="142" w:lineRule="exact"/>
              <w:rPr>
                <w:sz w:val="20"/>
                <w:szCs w:val="20"/>
                <w:color w:val="auto"/>
              </w:rPr>
            </w:pPr>
            <w:r>
              <w:rPr>
                <w:rFonts w:ascii="Times New Roman" w:cs="Times New Roman" w:eastAsia="Times New Roman" w:hAnsi="Times New Roman"/>
                <w:sz w:val="14"/>
                <w:szCs w:val="14"/>
                <w:b w:val="1"/>
                <w:bCs w:val="1"/>
                <w:color w:val="auto"/>
              </w:rPr>
              <w:t>Derivative assets</w:t>
            </w:r>
          </w:p>
        </w:tc>
        <w:tc>
          <w:tcPr>
            <w:tcW w:w="10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920" w:type="dxa"/>
            <w:vAlign w:val="bottom"/>
            <w:tcBorders>
              <w:bottom w:val="single" w:sz="8" w:color="auto"/>
            </w:tcBorders>
            <w:gridSpan w:val="4"/>
          </w:tcPr>
          <w:p>
            <w:pPr>
              <w:ind w:left="260"/>
              <w:spacing w:after="0" w:line="142" w:lineRule="exact"/>
              <w:rPr>
                <w:sz w:val="20"/>
                <w:szCs w:val="20"/>
                <w:color w:val="auto"/>
              </w:rPr>
            </w:pPr>
            <w:r>
              <w:rPr>
                <w:rFonts w:ascii="Times New Roman" w:cs="Times New Roman" w:eastAsia="Times New Roman" w:hAnsi="Times New Roman"/>
                <w:sz w:val="14"/>
                <w:szCs w:val="14"/>
                <w:b w:val="1"/>
                <w:bCs w:val="1"/>
                <w:color w:val="auto"/>
              </w:rPr>
              <w:t>Derivative liabilities</w:t>
            </w:r>
          </w:p>
        </w:tc>
        <w:tc>
          <w:tcPr>
            <w:tcW w:w="0" w:type="dxa"/>
            <w:vAlign w:val="bottom"/>
          </w:tcPr>
          <w:p>
            <w:pPr>
              <w:spacing w:after="0"/>
              <w:rPr>
                <w:sz w:val="1"/>
                <w:szCs w:val="1"/>
                <w:color w:val="auto"/>
              </w:rPr>
            </w:pPr>
          </w:p>
        </w:tc>
      </w:tr>
      <w:tr>
        <w:trPr>
          <w:trHeight w:val="117"/>
        </w:trPr>
        <w:tc>
          <w:tcPr>
            <w:tcW w:w="32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4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tcPr>
          <w:p>
            <w:pPr>
              <w:jc w:val="right"/>
              <w:ind w:right="181"/>
              <w:spacing w:after="0" w:line="118"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tcPr>
          <w:p>
            <w:pPr>
              <w:jc w:val="right"/>
              <w:ind w:right="78"/>
              <w:spacing w:after="0" w:line="118"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20" w:type="dxa"/>
            <w:vAlign w:val="bottom"/>
          </w:tcPr>
          <w:p>
            <w:pPr>
              <w:ind w:left="60"/>
              <w:spacing w:after="0" w:line="118"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jc w:val="center"/>
              <w:ind w:right="58"/>
              <w:spacing w:after="0" w:line="118"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0" w:type="dxa"/>
            <w:vAlign w:val="bottom"/>
          </w:tcPr>
          <w:p>
            <w:pPr>
              <w:spacing w:after="0"/>
              <w:rPr>
                <w:sz w:val="1"/>
                <w:szCs w:val="1"/>
                <w:color w:val="auto"/>
              </w:rPr>
            </w:pPr>
          </w:p>
        </w:tc>
      </w:tr>
      <w:tr>
        <w:trPr>
          <w:trHeight w:val="173"/>
        </w:trPr>
        <w:tc>
          <w:tcPr>
            <w:tcW w:w="3280" w:type="dxa"/>
            <w:vAlign w:val="bottom"/>
            <w:tcBorders>
              <w:bottom w:val="single" w:sz="8" w:color="CCEEFF"/>
            </w:tcBorders>
            <w:vMerge w:val="continue"/>
          </w:tcPr>
          <w:p>
            <w:pPr>
              <w:spacing w:after="0"/>
              <w:rPr>
                <w:sz w:val="15"/>
                <w:szCs w:val="15"/>
                <w:color w:val="auto"/>
              </w:rPr>
            </w:pPr>
          </w:p>
        </w:tc>
        <w:tc>
          <w:tcPr>
            <w:tcW w:w="140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81"/>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120" w:type="dxa"/>
            <w:vAlign w:val="bottom"/>
            <w:tcBorders>
              <w:bottom w:val="single" w:sz="8" w:color="CCEEFF"/>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178"/>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0" w:type="dxa"/>
            <w:vAlign w:val="bottom"/>
          </w:tcPr>
          <w:p>
            <w:pPr>
              <w:spacing w:after="0"/>
              <w:rPr>
                <w:sz w:val="1"/>
                <w:szCs w:val="1"/>
                <w:color w:val="auto"/>
              </w:rPr>
            </w:pPr>
          </w:p>
        </w:tc>
      </w:tr>
      <w:tr>
        <w:trPr>
          <w:trHeight w:val="210"/>
        </w:trPr>
        <w:tc>
          <w:tcPr>
            <w:tcW w:w="32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Primary underlying risk</w:t>
            </w:r>
          </w:p>
        </w:tc>
        <w:tc>
          <w:tcPr>
            <w:tcW w:w="14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Commodity price</w:t>
            </w:r>
          </w:p>
        </w:tc>
        <w:tc>
          <w:tcPr>
            <w:tcW w:w="1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2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Crude oil</w:t>
            </w:r>
          </w:p>
        </w:tc>
        <w:tc>
          <w:tcPr>
            <w:tcW w:w="1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4,581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(1,865)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328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8"/>
                <w:szCs w:val="18"/>
                <w:color w:val="auto"/>
              </w:rPr>
              <w:t>Natural gas</w:t>
            </w:r>
          </w:p>
        </w:tc>
        <w:tc>
          <w:tcPr>
            <w:tcW w:w="14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(205)</w:t>
            </w:r>
          </w:p>
        </w:tc>
        <w:tc>
          <w:tcPr>
            <w:tcW w:w="1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w w:val="95"/>
              </w:rPr>
              <w:t>(2,076)</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32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4,376</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812</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w w:val="95"/>
              </w:rPr>
              <w:t>(3,941)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identify the net gain/(loss) amounts included in the accompanying condensed combined statements of income as gain/(loss) on derivative contracts for the three and nine months ended September 30, 2022.</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31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100" w:type="dxa"/>
            <w:vAlign w:val="bottom"/>
            <w:gridSpan w:val="1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60" w:type="dxa"/>
            <w:vAlign w:val="bottom"/>
            <w:tcBorders>
              <w:top w:val="single" w:sz="8" w:color="auto"/>
            </w:tcBorders>
          </w:tcPr>
          <w:p>
            <w:pPr>
              <w:spacing w:after="0"/>
              <w:rPr>
                <w:sz w:val="10"/>
                <w:szCs w:val="10"/>
                <w:color w:val="auto"/>
              </w:rPr>
            </w:pPr>
          </w:p>
        </w:tc>
        <w:tc>
          <w:tcPr>
            <w:tcW w:w="6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4"/>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1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420" w:type="dxa"/>
            <w:vAlign w:val="bottom"/>
          </w:tcPr>
          <w:p>
            <w:pPr>
              <w:spacing w:after="0"/>
              <w:rPr>
                <w:sz w:val="12"/>
                <w:szCs w:val="12"/>
                <w:color w:val="auto"/>
              </w:rPr>
            </w:pPr>
          </w:p>
        </w:tc>
        <w:tc>
          <w:tcPr>
            <w:tcW w:w="1120" w:type="dxa"/>
            <w:vAlign w:val="bottom"/>
            <w:gridSpan w:val="5"/>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Realized loss</w:t>
            </w:r>
          </w:p>
        </w:tc>
        <w:tc>
          <w:tcPr>
            <w:tcW w:w="120" w:type="dxa"/>
            <w:vAlign w:val="bottom"/>
          </w:tcPr>
          <w:p>
            <w:pPr>
              <w:spacing w:after="0"/>
              <w:rPr>
                <w:sz w:val="12"/>
                <w:szCs w:val="12"/>
                <w:color w:val="auto"/>
              </w:rPr>
            </w:pPr>
          </w:p>
        </w:tc>
        <w:tc>
          <w:tcPr>
            <w:tcW w:w="1000" w:type="dxa"/>
            <w:vAlign w:val="bottom"/>
            <w:gridSpan w:val="4"/>
          </w:tcPr>
          <w:p>
            <w:pPr>
              <w:ind w:left="2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4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140" w:type="dxa"/>
            <w:vAlign w:val="bottom"/>
            <w:gridSpan w:val="2"/>
            <w:vMerge w:val="continue"/>
          </w:tcPr>
          <w:p>
            <w:pPr>
              <w:spacing w:after="0"/>
              <w:rPr>
                <w:sz w:val="15"/>
                <w:szCs w:val="15"/>
                <w:color w:val="auto"/>
              </w:rPr>
            </w:pPr>
          </w:p>
        </w:tc>
        <w:tc>
          <w:tcPr>
            <w:tcW w:w="2420" w:type="dxa"/>
            <w:vAlign w:val="bottom"/>
          </w:tcPr>
          <w:p>
            <w:pPr>
              <w:spacing w:after="0"/>
              <w:rPr>
                <w:sz w:val="15"/>
                <w:szCs w:val="15"/>
                <w:color w:val="auto"/>
              </w:rPr>
            </w:pPr>
          </w:p>
        </w:tc>
        <w:tc>
          <w:tcPr>
            <w:tcW w:w="1120" w:type="dxa"/>
            <w:vAlign w:val="bottom"/>
            <w:gridSpan w:val="5"/>
            <w:vMerge w:val="continue"/>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4"/>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Primary underlying risk</w:t>
            </w:r>
          </w:p>
        </w:tc>
        <w:tc>
          <w:tcPr>
            <w:tcW w:w="2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 price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3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Crude oil</w:t>
            </w:r>
          </w:p>
        </w:tc>
        <w:tc>
          <w:tcPr>
            <w:tcW w:w="25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(4,971)</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16,571</w:t>
            </w:r>
          </w:p>
        </w:tc>
        <w:tc>
          <w:tcPr>
            <w:tcW w:w="1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Natural gas</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(4,360)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(1,158)</w:t>
            </w: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3120" w:type="dxa"/>
            <w:vAlign w:val="bottom"/>
            <w:tcBorders>
              <w:top w:val="single" w:sz="8" w:color="CCEEFF"/>
              <w:bottom w:val="single" w:sz="8" w:color="CCEEFF"/>
            </w:tcBorders>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Total</w:t>
            </w:r>
          </w:p>
        </w:tc>
        <w:tc>
          <w:tcPr>
            <w:tcW w:w="24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(9,331)</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6,082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gridSpan w:val="1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2022</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3120" w:type="dxa"/>
            <w:vAlign w:val="bottom"/>
          </w:tcPr>
          <w:p>
            <w:pPr>
              <w:spacing w:after="0"/>
              <w:rPr>
                <w:sz w:val="10"/>
                <w:szCs w:val="10"/>
                <w:color w:val="auto"/>
              </w:rPr>
            </w:pPr>
          </w:p>
        </w:tc>
        <w:tc>
          <w:tcPr>
            <w:tcW w:w="24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00" w:type="dxa"/>
            <w:vAlign w:val="bottom"/>
            <w:gridSpan w:val="3"/>
          </w:tcPr>
          <w:p>
            <w:pPr>
              <w:jc w:val="center"/>
              <w:ind w:right="160"/>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4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4"/>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Realized loss</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3"/>
          </w:tcPr>
          <w:p>
            <w:pPr>
              <w:ind w:left="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60" w:type="dxa"/>
            <w:vAlign w:val="bottom"/>
            <w:gridSpan w:val="2"/>
            <w:vMerge w:val="restart"/>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140" w:type="dxa"/>
            <w:vAlign w:val="bottom"/>
            <w:gridSpan w:val="2"/>
            <w:vMerge w:val="continue"/>
          </w:tcPr>
          <w:p>
            <w:pPr>
              <w:spacing w:after="0"/>
              <w:rPr>
                <w:sz w:val="15"/>
                <w:szCs w:val="15"/>
                <w:color w:val="auto"/>
              </w:rPr>
            </w:pP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gridSpan w:val="4"/>
            <w:vMerge w:val="continue"/>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1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Primary underlying risk</w:t>
            </w:r>
          </w:p>
        </w:tc>
        <w:tc>
          <w:tcPr>
            <w:tcW w:w="24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Commodity price</w:t>
            </w: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Crude oil</w:t>
            </w:r>
          </w:p>
        </w:tc>
        <w:tc>
          <w:tcPr>
            <w:tcW w:w="2680" w:type="dxa"/>
            <w:vAlign w:val="bottom"/>
            <w:gridSpan w:val="3"/>
            <w:shd w:val="clear" w:color="auto" w:fill="CCEEFF"/>
          </w:tcPr>
          <w:p>
            <w:pPr>
              <w:ind w:left="25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(15,388)</w:t>
            </w:r>
          </w:p>
        </w:tc>
        <w:tc>
          <w:tcPr>
            <w:tcW w:w="6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7,404</w:t>
            </w:r>
          </w:p>
        </w:tc>
        <w:tc>
          <w:tcPr>
            <w:tcW w:w="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2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Natural gas</w:t>
            </w:r>
          </w:p>
        </w:tc>
        <w:tc>
          <w:tcPr>
            <w:tcW w:w="242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(9,359)</w:t>
            </w:r>
          </w:p>
        </w:tc>
        <w:tc>
          <w:tcPr>
            <w:tcW w:w="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(1,804)</w:t>
            </w: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(11,163)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12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2520" w:type="dxa"/>
            <w:vAlign w:val="bottom"/>
            <w:tcBorders>
              <w:bottom w:val="single" w:sz="8" w:color="CCEEFF"/>
            </w:tcBorders>
            <w:gridSpan w:val="2"/>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(24,747)</w:t>
            </w:r>
          </w:p>
        </w:tc>
        <w:tc>
          <w:tcPr>
            <w:tcW w:w="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5,600</w:t>
            </w:r>
          </w:p>
        </w:tc>
        <w:tc>
          <w:tcPr>
            <w:tcW w:w="4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(19,147)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420" w:type="dxa"/>
            <w:vAlign w:val="bottom"/>
            <w:vMerge w:val="restart"/>
          </w:tcPr>
          <w:p>
            <w:pPr>
              <w:jc w:val="right"/>
              <w:ind w:right="91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2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15" w:name="page16"/>
    <w:bookmarkEnd w:id="1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(PREDECESSOR TO GRANITE RIDGE RESOURCES,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07" w:lineRule="exact"/>
        <w:rPr>
          <w:sz w:val="20"/>
          <w:szCs w:val="20"/>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identifies the fair value amounts of derivative instruments included in the accompanying condensed combined balance sheets as derivative liabilities categorized by primary underlying risk, at December 31, 2021.</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3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820" w:type="dxa"/>
            <w:vAlign w:val="bottom"/>
            <w:tcBorders>
              <w:bottom w:val="single" w:sz="8" w:color="auto"/>
            </w:tcBorders>
            <w:gridSpan w:val="4"/>
          </w:tcPr>
          <w:p>
            <w:pPr>
              <w:jc w:val="right"/>
              <w:ind w:right="126"/>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26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020" w:type="dxa"/>
            <w:vAlign w:val="bottom"/>
            <w:tcBorders>
              <w:bottom w:val="single" w:sz="8" w:color="auto"/>
            </w:tcBorders>
            <w:gridSpan w:val="4"/>
          </w:tcPr>
          <w:p>
            <w:pPr>
              <w:jc w:val="right"/>
              <w:ind w:right="438"/>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42"/>
        </w:trPr>
        <w:tc>
          <w:tcPr>
            <w:tcW w:w="31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820" w:type="dxa"/>
            <w:vAlign w:val="bottom"/>
            <w:tcBorders>
              <w:bottom w:val="single" w:sz="8" w:color="auto"/>
            </w:tcBorders>
            <w:gridSpan w:val="4"/>
          </w:tcPr>
          <w:p>
            <w:pPr>
              <w:jc w:val="right"/>
              <w:ind w:right="206"/>
              <w:spacing w:after="0" w:line="142" w:lineRule="exact"/>
              <w:rPr>
                <w:sz w:val="20"/>
                <w:szCs w:val="20"/>
                <w:color w:val="auto"/>
              </w:rPr>
            </w:pPr>
            <w:r>
              <w:rPr>
                <w:rFonts w:ascii="Times New Roman" w:cs="Times New Roman" w:eastAsia="Times New Roman" w:hAnsi="Times New Roman"/>
                <w:sz w:val="14"/>
                <w:szCs w:val="14"/>
                <w:b w:val="1"/>
                <w:bCs w:val="1"/>
                <w:color w:val="auto"/>
              </w:rPr>
              <w:t>Derivative assets</w:t>
            </w:r>
          </w:p>
        </w:tc>
        <w:tc>
          <w:tcPr>
            <w:tcW w:w="26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020" w:type="dxa"/>
            <w:vAlign w:val="bottom"/>
            <w:tcBorders>
              <w:bottom w:val="single" w:sz="8" w:color="auto"/>
            </w:tcBorders>
            <w:gridSpan w:val="4"/>
          </w:tcPr>
          <w:p>
            <w:pPr>
              <w:jc w:val="right"/>
              <w:ind w:right="338"/>
              <w:spacing w:after="0" w:line="142" w:lineRule="exact"/>
              <w:rPr>
                <w:sz w:val="20"/>
                <w:szCs w:val="20"/>
                <w:color w:val="auto"/>
              </w:rPr>
            </w:pPr>
            <w:r>
              <w:rPr>
                <w:rFonts w:ascii="Times New Roman" w:cs="Times New Roman" w:eastAsia="Times New Roman" w:hAnsi="Times New Roman"/>
                <w:sz w:val="14"/>
                <w:szCs w:val="14"/>
                <w:b w:val="1"/>
                <w:bCs w:val="1"/>
                <w:color w:val="auto"/>
              </w:rPr>
              <w:t>Derivative liabilities</w:t>
            </w:r>
          </w:p>
        </w:tc>
        <w:tc>
          <w:tcPr>
            <w:tcW w:w="0" w:type="dxa"/>
            <w:vAlign w:val="bottom"/>
          </w:tcPr>
          <w:p>
            <w:pPr>
              <w:spacing w:after="0"/>
              <w:rPr>
                <w:sz w:val="1"/>
                <w:szCs w:val="1"/>
                <w:color w:val="auto"/>
              </w:rPr>
            </w:pPr>
          </w:p>
        </w:tc>
      </w:tr>
      <w:tr>
        <w:trPr>
          <w:trHeight w:val="117"/>
        </w:trPr>
        <w:tc>
          <w:tcPr>
            <w:tcW w:w="318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320" w:type="dxa"/>
            <w:vAlign w:val="bottom"/>
          </w:tcPr>
          <w:p>
            <w:pPr>
              <w:spacing w:after="0"/>
              <w:rPr>
                <w:sz w:val="10"/>
                <w:szCs w:val="10"/>
                <w:color w:val="auto"/>
              </w:rPr>
            </w:pPr>
          </w:p>
        </w:tc>
        <w:tc>
          <w:tcPr>
            <w:tcW w:w="720" w:type="dxa"/>
            <w:vAlign w:val="bottom"/>
          </w:tcPr>
          <w:p>
            <w:pPr>
              <w:jc w:val="right"/>
              <w:spacing w:after="0" w:line="118" w:lineRule="exact"/>
              <w:rPr>
                <w:sz w:val="20"/>
                <w:szCs w:val="20"/>
                <w:color w:val="auto"/>
              </w:rPr>
            </w:pPr>
            <w:r>
              <w:rPr>
                <w:rFonts w:ascii="Times New Roman" w:cs="Times New Roman" w:eastAsia="Times New Roman" w:hAnsi="Times New Roman"/>
                <w:sz w:val="13"/>
                <w:szCs w:val="13"/>
                <w:b w:val="1"/>
                <w:bCs w:val="1"/>
                <w:color w:val="auto"/>
              </w:rPr>
              <w:t>Current</w:t>
            </w:r>
          </w:p>
        </w:tc>
        <w:tc>
          <w:tcPr>
            <w:tcW w:w="2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2"/>
          </w:tcPr>
          <w:p>
            <w:pPr>
              <w:ind w:left="120"/>
              <w:spacing w:after="0" w:line="118"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1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80" w:type="dxa"/>
            <w:vAlign w:val="bottom"/>
          </w:tcPr>
          <w:p>
            <w:pPr>
              <w:jc w:val="right"/>
              <w:ind w:right="221"/>
              <w:spacing w:after="0" w:line="118" w:lineRule="exact"/>
              <w:rPr>
                <w:sz w:val="20"/>
                <w:szCs w:val="20"/>
                <w:color w:val="auto"/>
              </w:rPr>
            </w:pPr>
            <w:r>
              <w:rPr>
                <w:rFonts w:ascii="Times New Roman" w:cs="Times New Roman" w:eastAsia="Times New Roman" w:hAnsi="Times New Roman"/>
                <w:sz w:val="13"/>
                <w:szCs w:val="13"/>
                <w:b w:val="1"/>
                <w:bCs w:val="1"/>
                <w:color w:val="auto"/>
              </w:rPr>
              <w:t>Current</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tcPr>
          <w:p>
            <w:pPr>
              <w:jc w:val="right"/>
              <w:ind w:right="98"/>
              <w:spacing w:after="0" w:line="118" w:lineRule="exact"/>
              <w:rPr>
                <w:sz w:val="20"/>
                <w:szCs w:val="20"/>
                <w:color w:val="auto"/>
              </w:rPr>
            </w:pPr>
            <w:r>
              <w:rPr>
                <w:rFonts w:ascii="Times New Roman" w:cs="Times New Roman" w:eastAsia="Times New Roman" w:hAnsi="Times New Roman"/>
                <w:sz w:val="13"/>
                <w:szCs w:val="13"/>
                <w:b w:val="1"/>
                <w:bCs w:val="1"/>
                <w:color w:val="auto"/>
              </w:rPr>
              <w:t>Noncurrent</w:t>
            </w:r>
          </w:p>
        </w:tc>
        <w:tc>
          <w:tcPr>
            <w:tcW w:w="0" w:type="dxa"/>
            <w:vAlign w:val="bottom"/>
          </w:tcPr>
          <w:p>
            <w:pPr>
              <w:spacing w:after="0"/>
              <w:rPr>
                <w:sz w:val="1"/>
                <w:szCs w:val="1"/>
                <w:color w:val="auto"/>
              </w:rPr>
            </w:pPr>
          </w:p>
        </w:tc>
      </w:tr>
      <w:tr>
        <w:trPr>
          <w:trHeight w:val="173"/>
        </w:trPr>
        <w:tc>
          <w:tcPr>
            <w:tcW w:w="3180" w:type="dxa"/>
            <w:vAlign w:val="bottom"/>
            <w:tcBorders>
              <w:bottom w:val="single" w:sz="8" w:color="CCEEFF"/>
            </w:tcBorders>
            <w:vMerge w:val="continue"/>
          </w:tcPr>
          <w:p>
            <w:pPr>
              <w:spacing w:after="0"/>
              <w:rPr>
                <w:sz w:val="15"/>
                <w:szCs w:val="15"/>
                <w:color w:val="auto"/>
              </w:rPr>
            </w:pPr>
          </w:p>
        </w:tc>
        <w:tc>
          <w:tcPr>
            <w:tcW w:w="1320" w:type="dxa"/>
            <w:vAlign w:val="bottom"/>
            <w:tcBorders>
              <w:bottom w:val="single" w:sz="8" w:color="CCEEFF"/>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260" w:type="dxa"/>
            <w:vAlign w:val="bottom"/>
            <w:tcBorders>
              <w:bottom w:val="single" w:sz="8" w:color="auto"/>
            </w:tcBorders>
          </w:tcPr>
          <w:p>
            <w:pPr>
              <w:spacing w:after="0"/>
              <w:rPr>
                <w:sz w:val="15"/>
                <w:szCs w:val="15"/>
                <w:color w:val="auto"/>
              </w:rPr>
            </w:pPr>
          </w:p>
        </w:tc>
        <w:tc>
          <w:tcPr>
            <w:tcW w:w="100" w:type="dxa"/>
            <w:vAlign w:val="bottom"/>
            <w:tcBorders>
              <w:bottom w:val="single" w:sz="8" w:color="CCEEFF"/>
            </w:tcBorders>
          </w:tcPr>
          <w:p>
            <w:pPr>
              <w:spacing w:after="0"/>
              <w:rPr>
                <w:sz w:val="15"/>
                <w:szCs w:val="15"/>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260" w:type="dxa"/>
            <w:vAlign w:val="bottom"/>
            <w:tcBorders>
              <w:bottom w:val="single" w:sz="8" w:color="auto"/>
            </w:tcBorders>
          </w:tcPr>
          <w:p>
            <w:pPr>
              <w:spacing w:after="0"/>
              <w:rPr>
                <w:sz w:val="15"/>
                <w:szCs w:val="15"/>
                <w:color w:val="auto"/>
              </w:rPr>
            </w:pPr>
          </w:p>
        </w:tc>
        <w:tc>
          <w:tcPr>
            <w:tcW w:w="14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198"/>
              <w:spacing w:after="0"/>
              <w:rPr>
                <w:sz w:val="20"/>
                <w:szCs w:val="20"/>
                <w:color w:val="auto"/>
              </w:rPr>
            </w:pPr>
            <w:r>
              <w:rPr>
                <w:rFonts w:ascii="Times New Roman" w:cs="Times New Roman" w:eastAsia="Times New Roman" w:hAnsi="Times New Roman"/>
                <w:sz w:val="14"/>
                <w:szCs w:val="14"/>
                <w:b w:val="1"/>
                <w:bCs w:val="1"/>
                <w:color w:val="auto"/>
              </w:rPr>
              <w:t>portion</w:t>
            </w: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Primary underlying risk</w:t>
            </w:r>
          </w:p>
        </w:tc>
        <w:tc>
          <w:tcPr>
            <w:tcW w:w="13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Commodity price</w:t>
            </w:r>
          </w:p>
        </w:tc>
        <w:tc>
          <w:tcPr>
            <w:tcW w:w="13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Crude oil</w:t>
            </w:r>
          </w:p>
        </w:tc>
        <w:tc>
          <w:tcPr>
            <w:tcW w:w="2040" w:type="dxa"/>
            <w:vAlign w:val="bottom"/>
            <w:gridSpan w:val="2"/>
            <w:shd w:val="clear" w:color="auto" w:fill="CCEEFF"/>
          </w:tcPr>
          <w:p>
            <w:pPr>
              <w:jc w:val="right"/>
              <w:ind w:right="567"/>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gridSpan w:val="2"/>
            <w:shd w:val="clear" w:color="auto" w:fill="CCEEFF"/>
          </w:tcPr>
          <w:p>
            <w:pPr>
              <w:jc w:val="right"/>
              <w:ind w:right="586"/>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(3,465)</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(411)</w:t>
            </w:r>
          </w:p>
        </w:tc>
        <w:tc>
          <w:tcPr>
            <w:tcW w:w="0" w:type="dxa"/>
            <w:vAlign w:val="bottom"/>
          </w:tcPr>
          <w:p>
            <w:pPr>
              <w:spacing w:after="0"/>
              <w:rPr>
                <w:sz w:val="1"/>
                <w:szCs w:val="1"/>
                <w:color w:val="auto"/>
              </w:rPr>
            </w:pPr>
          </w:p>
        </w:tc>
      </w:tr>
      <w:tr>
        <w:trPr>
          <w:trHeight w:val="216"/>
        </w:trPr>
        <w:tc>
          <w:tcPr>
            <w:tcW w:w="318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Natural gas</w:t>
            </w:r>
          </w:p>
        </w:tc>
        <w:tc>
          <w:tcPr>
            <w:tcW w:w="132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09"/>
        </w:trPr>
        <w:tc>
          <w:tcPr>
            <w:tcW w:w="31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Total</w:t>
            </w:r>
          </w:p>
        </w:tc>
        <w:tc>
          <w:tcPr>
            <w:tcW w:w="1320" w:type="dxa"/>
            <w:vAlign w:val="bottom"/>
            <w:tcBorders>
              <w:bottom w:val="single" w:sz="8" w:color="CCEEFF"/>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ind w:right="567"/>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ind w:right="586"/>
              <w:spacing w:after="0"/>
              <w:rPr>
                <w:sz w:val="20"/>
                <w:szCs w:val="20"/>
                <w:color w:val="auto"/>
              </w:rPr>
            </w:pPr>
            <w:r>
              <w:rPr>
                <w:rFonts w:ascii="Times New Roman" w:cs="Times New Roman" w:eastAsia="Times New Roman" w:hAnsi="Times New Roman"/>
                <w:sz w:val="17"/>
                <w:szCs w:val="17"/>
                <w:color w:val="auto"/>
                <w:w w:val="70"/>
              </w:rPr>
              <w:t>$</w:t>
            </w:r>
          </w:p>
        </w:tc>
        <w:tc>
          <w:tcPr>
            <w:tcW w:w="2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(3,953)</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0" w:type="dxa"/>
            <w:vAlign w:val="bottom"/>
          </w:tcPr>
          <w:p>
            <w:pPr>
              <w:spacing w:after="0"/>
              <w:rPr>
                <w:sz w:val="1"/>
                <w:szCs w:val="1"/>
                <w:color w:val="auto"/>
              </w:rPr>
            </w:pPr>
          </w:p>
        </w:tc>
      </w:tr>
      <w:tr>
        <w:trPr>
          <w:trHeight w:val="20"/>
        </w:trPr>
        <w:tc>
          <w:tcPr>
            <w:tcW w:w="318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tables identify the net gain/(loss) amounts included in the accompanying condensed combined statements of income as gain/(loss) on derivative contracts for the three and nine months ended September 30, 2021.</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3140" w:type="dxa"/>
            <w:vAlign w:val="bottom"/>
          </w:tcPr>
          <w:p>
            <w:pPr>
              <w:spacing w:after="0"/>
              <w:rPr>
                <w:sz w:val="15"/>
                <w:szCs w:val="15"/>
                <w:color w:val="auto"/>
              </w:rPr>
            </w:pPr>
          </w:p>
        </w:tc>
        <w:tc>
          <w:tcPr>
            <w:tcW w:w="1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680" w:type="dxa"/>
            <w:vAlign w:val="bottom"/>
            <w:gridSpan w:val="12"/>
          </w:tcPr>
          <w:p>
            <w:pPr>
              <w:ind w:left="500"/>
              <w:spacing w:after="0"/>
              <w:rPr>
                <w:sz w:val="20"/>
                <w:szCs w:val="20"/>
                <w:color w:val="auto"/>
              </w:rPr>
            </w:pPr>
            <w:r>
              <w:rPr>
                <w:rFonts w:ascii="Times New Roman" w:cs="Times New Roman" w:eastAsia="Times New Roman" w:hAnsi="Times New Roman"/>
                <w:sz w:val="14"/>
                <w:szCs w:val="14"/>
                <w:b w:val="1"/>
                <w:bCs w:val="1"/>
                <w:color w:val="auto"/>
              </w:rPr>
              <w:t>Three months ended September 30, 2021</w:t>
            </w:r>
          </w:p>
        </w:tc>
        <w:tc>
          <w:tcPr>
            <w:tcW w:w="0" w:type="dxa"/>
            <w:vAlign w:val="bottom"/>
          </w:tcPr>
          <w:p>
            <w:pPr>
              <w:spacing w:after="0"/>
              <w:rPr>
                <w:sz w:val="1"/>
                <w:szCs w:val="1"/>
                <w:color w:val="auto"/>
              </w:rPr>
            </w:pPr>
          </w:p>
        </w:tc>
      </w:tr>
      <w:tr>
        <w:trPr>
          <w:trHeight w:val="117"/>
        </w:trPr>
        <w:tc>
          <w:tcPr>
            <w:tcW w:w="3140" w:type="dxa"/>
            <w:vAlign w:val="bottom"/>
          </w:tcPr>
          <w:p>
            <w:pPr>
              <w:spacing w:after="0"/>
              <w:rPr>
                <w:sz w:val="10"/>
                <w:szCs w:val="10"/>
                <w:color w:val="auto"/>
              </w:rPr>
            </w:pPr>
          </w:p>
        </w:tc>
        <w:tc>
          <w:tcPr>
            <w:tcW w:w="194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1180" w:type="dxa"/>
            <w:vAlign w:val="bottom"/>
            <w:tcBorders>
              <w:top w:val="single" w:sz="8" w:color="auto"/>
            </w:tcBorders>
            <w:gridSpan w:val="3"/>
          </w:tcPr>
          <w:p>
            <w:pPr>
              <w:jc w:val="center"/>
              <w:ind w:right="300"/>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20" w:type="dxa"/>
            <w:vAlign w:val="bottom"/>
            <w:tcBorders>
              <w:top w:val="single" w:sz="8" w:color="auto"/>
            </w:tcBorders>
          </w:tcPr>
          <w:p>
            <w:pPr>
              <w:spacing w:after="0"/>
              <w:rPr>
                <w:sz w:val="10"/>
                <w:szCs w:val="10"/>
                <w:color w:val="auto"/>
              </w:rPr>
            </w:pPr>
          </w:p>
        </w:tc>
        <w:tc>
          <w:tcPr>
            <w:tcW w:w="24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9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Realized loss</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unrealized</w:t>
            </w: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140" w:type="dxa"/>
            <w:vAlign w:val="bottom"/>
            <w:vMerge w:val="continue"/>
          </w:tcPr>
          <w:p>
            <w:pPr>
              <w:spacing w:after="0"/>
              <w:rPr>
                <w:sz w:val="15"/>
                <w:szCs w:val="15"/>
                <w:color w:val="auto"/>
              </w:rPr>
            </w:pPr>
          </w:p>
        </w:tc>
        <w:tc>
          <w:tcPr>
            <w:tcW w:w="1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gain/(loss)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Primary underlying risk</w:t>
            </w:r>
          </w:p>
        </w:tc>
        <w:tc>
          <w:tcPr>
            <w:tcW w:w="19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 price</w:t>
            </w:r>
          </w:p>
        </w:tc>
        <w:tc>
          <w:tcPr>
            <w:tcW w:w="1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Crude oil</w:t>
            </w:r>
          </w:p>
        </w:tc>
        <w:tc>
          <w:tcPr>
            <w:tcW w:w="2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(2,324)</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721</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Natural gas</w:t>
            </w:r>
          </w:p>
        </w:tc>
        <w:tc>
          <w:tcPr>
            <w:tcW w:w="1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ind w:left="460"/>
              <w:spacing w:after="0"/>
              <w:rPr>
                <w:sz w:val="20"/>
                <w:szCs w:val="20"/>
                <w:color w:val="auto"/>
              </w:rPr>
            </w:pPr>
            <w:r>
              <w:rPr>
                <w:rFonts w:ascii="Times New Roman" w:cs="Times New Roman" w:eastAsia="Times New Roman" w:hAnsi="Times New Roman"/>
                <w:sz w:val="18"/>
                <w:szCs w:val="18"/>
                <w:color w:val="auto"/>
              </w:rPr>
              <w:t>(1,635)</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(3,320)</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w w:val="98"/>
              </w:rPr>
              <w:t>(3,959)</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(2,599)</w:t>
            </w: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gridSpan w:val="2"/>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5"/>
        </w:trPr>
        <w:tc>
          <w:tcPr>
            <w:tcW w:w="314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60" w:type="dxa"/>
            <w:vAlign w:val="bottom"/>
            <w:tcBorders>
              <w:bottom w:val="single" w:sz="8" w:color="auto"/>
            </w:tcBorders>
            <w:gridSpan w:val="11"/>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Nine months ended September 30, 2021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7"/>
        </w:trPr>
        <w:tc>
          <w:tcPr>
            <w:tcW w:w="314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9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Realized loss</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3"/>
          </w:tcPr>
          <w:p>
            <w:pPr>
              <w:jc w:val="center"/>
              <w:ind w:right="260"/>
              <w:spacing w:after="0" w:line="118" w:lineRule="exact"/>
              <w:rPr>
                <w:sz w:val="20"/>
                <w:szCs w:val="20"/>
                <w:color w:val="auto"/>
              </w:rPr>
            </w:pPr>
            <w:r>
              <w:rPr>
                <w:rFonts w:ascii="Times New Roman" w:cs="Times New Roman" w:eastAsia="Times New Roman" w:hAnsi="Times New Roman"/>
                <w:sz w:val="13"/>
                <w:szCs w:val="13"/>
                <w:b w:val="1"/>
                <w:bCs w:val="1"/>
                <w:color w:val="auto"/>
              </w:rPr>
              <w:t>Change in</w:t>
            </w:r>
          </w:p>
        </w:tc>
        <w:tc>
          <w:tcPr>
            <w:tcW w:w="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2"/>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3140" w:type="dxa"/>
            <w:vAlign w:val="bottom"/>
            <w:vMerge w:val="continue"/>
          </w:tcPr>
          <w:p>
            <w:pPr>
              <w:spacing w:after="0"/>
              <w:rPr>
                <w:sz w:val="15"/>
                <w:szCs w:val="15"/>
                <w:color w:val="auto"/>
              </w:rPr>
            </w:pPr>
          </w:p>
        </w:tc>
        <w:tc>
          <w:tcPr>
            <w:tcW w:w="19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unrealized loss</w:t>
            </w: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Primary underlying risk</w:t>
            </w:r>
          </w:p>
        </w:tc>
        <w:tc>
          <w:tcPr>
            <w:tcW w:w="19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Commodity price</w:t>
            </w:r>
          </w:p>
        </w:tc>
        <w:tc>
          <w:tcPr>
            <w:tcW w:w="1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Crude oil</w:t>
            </w:r>
          </w:p>
        </w:tc>
        <w:tc>
          <w:tcPr>
            <w:tcW w:w="2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(2,583)</w:t>
            </w: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(6,775)</w:t>
            </w:r>
          </w:p>
        </w:tc>
        <w:tc>
          <w:tcPr>
            <w:tcW w:w="260" w:type="dxa"/>
            <w:vAlign w:val="bottom"/>
            <w:gridSpan w:val="2"/>
            <w:shd w:val="clear" w:color="auto" w:fill="CCEEFF"/>
          </w:tcPr>
          <w:p>
            <w:pPr>
              <w:jc w:val="right"/>
              <w:ind w:right="76"/>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Natural gas</w:t>
            </w:r>
          </w:p>
        </w:tc>
        <w:tc>
          <w:tcPr>
            <w:tcW w:w="19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(4,522)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(4,235)</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4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1980" w:type="dxa"/>
            <w:vAlign w:val="bottom"/>
            <w:tcBorders>
              <w:top w:val="single" w:sz="8" w:color="CCEEFF"/>
              <w:bottom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auto"/>
            </w:tcBorders>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w w:val="98"/>
              </w:rPr>
              <w:t>(7,105)</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940" w:type="dxa"/>
            <w:vAlign w:val="bottom"/>
            <w:vMerge w:val="restart"/>
          </w:tcPr>
          <w:p>
            <w:pPr>
              <w:jc w:val="right"/>
              <w:ind w:right="430"/>
              <w:spacing w:after="0"/>
              <w:rPr>
                <w:sz w:val="20"/>
                <w:szCs w:val="20"/>
                <w:color w:val="auto"/>
              </w:rPr>
            </w:pPr>
            <w:r>
              <w:rPr>
                <w:rFonts w:ascii="Times New Roman" w:cs="Times New Roman" w:eastAsia="Times New Roman" w:hAnsi="Times New Roman"/>
                <w:sz w:val="18"/>
                <w:szCs w:val="18"/>
                <w:color w:val="auto"/>
              </w:rPr>
              <w:t>13</w:t>
            </w:r>
          </w:p>
        </w:tc>
        <w:tc>
          <w:tcPr>
            <w:tcW w:w="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5"/>
        </w:trPr>
        <w:tc>
          <w:tcPr>
            <w:tcW w:w="3140" w:type="dxa"/>
            <w:vAlign w:val="bottom"/>
          </w:tcPr>
          <w:p>
            <w:pPr>
              <w:spacing w:after="0"/>
              <w:rPr>
                <w:sz w:val="24"/>
                <w:szCs w:val="24"/>
                <w:color w:val="auto"/>
              </w:rPr>
            </w:pPr>
          </w:p>
        </w:tc>
        <w:tc>
          <w:tcPr>
            <w:tcW w:w="19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14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661" w:right="1440" w:bottom="1440" w:gutter="0" w:footer="0" w:header="0"/>
        </w:sectPr>
      </w:pPr>
    </w:p>
    <w:bookmarkStart w:id="16" w:name="page17"/>
    <w:bookmarkEnd w:id="1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(PREDECESSOR TO GRANITE RIDGE RESOURCES, INC.)</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03" w:lineRule="exact"/>
        <w:rPr>
          <w:sz w:val="20"/>
          <w:szCs w:val="20"/>
          <w:color w:val="auto"/>
        </w:rPr>
      </w:pPr>
    </w:p>
    <w:p>
      <w:pPr>
        <w:ind w:left="700" w:hanging="650"/>
        <w:spacing w:after="0"/>
        <w:tabs>
          <w:tab w:leader="none" w:pos="70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Fair value measurements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Fair Values – Recurring</w:t>
      </w:r>
    </w:p>
    <w:p>
      <w:pPr>
        <w:spacing w:after="0" w:line="225"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required, financial assets and liabilities are classified in their entirety based on the lowest level of input that is significant to the fair value measurement. The Partnership’s assessment of the significance of a particular input requires judgment and may affect the valuation of fair value assets and liabilities and their placement within the fair value hierarchy levels.</w:t>
      </w:r>
    </w:p>
    <w:p>
      <w:pPr>
        <w:spacing w:after="0" w:line="18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information about the Partnership’s recurring assets and liabilities measured at fair value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September 30, 2022:</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352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86"/>
        </w:trPr>
        <w:tc>
          <w:tcPr>
            <w:tcW w:w="3520" w:type="dxa"/>
            <w:vAlign w:val="bottom"/>
            <w:vMerge w:val="continue"/>
          </w:tcPr>
          <w:p>
            <w:pPr>
              <w:spacing w:after="0"/>
              <w:rPr>
                <w:sz w:val="16"/>
                <w:szCs w:val="16"/>
                <w:color w:val="auto"/>
              </w:rPr>
            </w:pPr>
          </w:p>
        </w:tc>
        <w:tc>
          <w:tcPr>
            <w:tcW w:w="1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6"/>
                <w:szCs w:val="16"/>
                <w:color w:val="auto"/>
              </w:rPr>
            </w:pPr>
          </w:p>
        </w:tc>
        <w:tc>
          <w:tcPr>
            <w:tcW w:w="760" w:type="dxa"/>
            <w:vAlign w:val="bottom"/>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2022</w:t>
            </w:r>
          </w:p>
        </w:tc>
        <w:tc>
          <w:tcPr>
            <w:tcW w:w="0" w:type="dxa"/>
            <w:vAlign w:val="bottom"/>
          </w:tcPr>
          <w:p>
            <w:pPr>
              <w:spacing w:after="0"/>
              <w:rPr>
                <w:sz w:val="1"/>
                <w:szCs w:val="1"/>
                <w:color w:val="auto"/>
              </w:rPr>
            </w:pPr>
          </w:p>
        </w:tc>
      </w:tr>
      <w:tr>
        <w:trPr>
          <w:trHeight w:val="196"/>
        </w:trPr>
        <w:tc>
          <w:tcPr>
            <w:tcW w:w="352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Assets (at fair value):</w:t>
            </w:r>
          </w:p>
        </w:tc>
        <w:tc>
          <w:tcPr>
            <w:tcW w:w="1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 contracts</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5,188</w:t>
            </w:r>
          </w:p>
        </w:tc>
        <w:tc>
          <w:tcPr>
            <w:tcW w:w="0" w:type="dxa"/>
            <w:vAlign w:val="bottom"/>
          </w:tcPr>
          <w:p>
            <w:pPr>
              <w:spacing w:after="0"/>
              <w:rPr>
                <w:sz w:val="1"/>
                <w:szCs w:val="1"/>
                <w:color w:val="auto"/>
              </w:rPr>
            </w:pPr>
          </w:p>
        </w:tc>
      </w:tr>
      <w:tr>
        <w:trPr>
          <w:trHeight w:val="197"/>
        </w:trPr>
        <w:tc>
          <w:tcPr>
            <w:tcW w:w="3520" w:type="dxa"/>
            <w:vAlign w:val="bottom"/>
            <w:tcBorders>
              <w:top w:val="single" w:sz="8" w:color="CCEEFF"/>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Liabilities (at fair value):</w:t>
            </w:r>
          </w:p>
        </w:tc>
        <w:tc>
          <w:tcPr>
            <w:tcW w:w="17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2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6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Derivative contracts</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2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(3,941)</w:t>
            </w:r>
          </w:p>
        </w:tc>
        <w:tc>
          <w:tcPr>
            <w:tcW w:w="0" w:type="dxa"/>
            <w:vAlign w:val="bottom"/>
          </w:tcPr>
          <w:p>
            <w:pPr>
              <w:spacing w:after="0"/>
              <w:rPr>
                <w:sz w:val="1"/>
                <w:szCs w:val="1"/>
                <w:color w:val="auto"/>
              </w:rPr>
            </w:pPr>
          </w:p>
        </w:tc>
      </w:tr>
      <w:tr>
        <w:trPr>
          <w:trHeight w:val="20"/>
        </w:trPr>
        <w:tc>
          <w:tcPr>
            <w:tcW w:w="35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following table presents information about the Partnership’s recurring liabilities measured at fair value as of</w:t>
      </w:r>
    </w:p>
    <w:p>
      <w:pPr>
        <w:spacing w:after="0" w:line="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December 31, 2021:</w:t>
      </w:r>
    </w:p>
    <w:p>
      <w:pPr>
        <w:spacing w:after="0" w:line="214"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528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5"/>
        </w:trPr>
        <w:tc>
          <w:tcPr>
            <w:tcW w:w="52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92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20" w:type="dxa"/>
            <w:vAlign w:val="bottom"/>
          </w:tcPr>
          <w:p>
            <w:pPr>
              <w:spacing w:after="0"/>
              <w:rPr>
                <w:sz w:val="16"/>
                <w:szCs w:val="16"/>
                <w:color w:val="auto"/>
              </w:rPr>
            </w:pPr>
          </w:p>
        </w:tc>
        <w:tc>
          <w:tcPr>
            <w:tcW w:w="80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200" w:type="dxa"/>
            <w:vAlign w:val="bottom"/>
          </w:tcPr>
          <w:p>
            <w:pPr>
              <w:spacing w:after="0"/>
              <w:rPr>
                <w:sz w:val="16"/>
                <w:szCs w:val="16"/>
                <w:color w:val="auto"/>
              </w:rPr>
            </w:pPr>
          </w:p>
        </w:tc>
        <w:tc>
          <w:tcPr>
            <w:tcW w:w="680" w:type="dxa"/>
            <w:vAlign w:val="bottom"/>
          </w:tcPr>
          <w:p>
            <w:pPr>
              <w:jc w:val="right"/>
              <w:ind w:right="219"/>
              <w:spacing w:after="0"/>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52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(at fair value):</w:t>
            </w:r>
          </w:p>
        </w:tc>
        <w:tc>
          <w:tcPr>
            <w:tcW w:w="1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Derivative contracts</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  (4,353)</w:t>
            </w: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(4,353)</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table provides the fair value of financial instruments that are not recorded at fair value in the condensed combined balance sheets:</w:t>
      </w:r>
    </w:p>
    <w:p>
      <w:pPr>
        <w:spacing w:after="0" w:line="169"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800" w:type="dxa"/>
            <w:vAlign w:val="bottom"/>
            <w:vMerge w:val="restart"/>
          </w:tcPr>
          <w:p>
            <w:pPr>
              <w:ind w:left="20"/>
              <w:spacing w:after="0"/>
              <w:rPr>
                <w:sz w:val="20"/>
                <w:szCs w:val="20"/>
                <w:color w:val="auto"/>
              </w:rPr>
            </w:pPr>
            <w:r>
              <w:rPr>
                <w:rFonts w:ascii="Times New Roman" w:cs="Times New Roman" w:eastAsia="Times New Roman" w:hAnsi="Times New Roman"/>
                <w:sz w:val="16"/>
                <w:szCs w:val="16"/>
                <w:b w:val="1"/>
                <w:bCs w:val="1"/>
                <w:i w:val="1"/>
                <w:iCs w:val="1"/>
                <w:color w:val="auto"/>
              </w:rPr>
              <w:t>(in thousands)</w:t>
            </w: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4"/>
          </w:tcPr>
          <w:p>
            <w:pPr>
              <w:jc w:val="center"/>
              <w:ind w:right="159"/>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0" w:type="dxa"/>
            <w:vAlign w:val="bottom"/>
          </w:tcPr>
          <w:p>
            <w:pPr>
              <w:spacing w:after="0"/>
              <w:rPr>
                <w:sz w:val="1"/>
                <w:szCs w:val="1"/>
                <w:color w:val="auto"/>
              </w:rPr>
            </w:pPr>
          </w:p>
        </w:tc>
      </w:tr>
      <w:tr>
        <w:trPr>
          <w:trHeight w:val="183"/>
        </w:trPr>
        <w:tc>
          <w:tcPr>
            <w:tcW w:w="4800" w:type="dxa"/>
            <w:vAlign w:val="bottom"/>
            <w:vMerge w:val="continue"/>
          </w:tcPr>
          <w:p>
            <w:pPr>
              <w:spacing w:after="0"/>
              <w:rPr>
                <w:sz w:val="15"/>
                <w:szCs w:val="15"/>
                <w:color w:val="auto"/>
              </w:rPr>
            </w:pPr>
          </w:p>
        </w:tc>
        <w:tc>
          <w:tcPr>
            <w:tcW w:w="122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9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3"/>
          </w:tcPr>
          <w:p>
            <w:pPr>
              <w:ind w:left="20"/>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840" w:type="dxa"/>
            <w:vAlign w:val="bottom"/>
          </w:tcPr>
          <w:p>
            <w:pPr>
              <w:jc w:val="right"/>
              <w:ind w:right="19"/>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210"/>
        </w:trPr>
        <w:tc>
          <w:tcPr>
            <w:tcW w:w="48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Liabilities (at fair value):</w:t>
            </w:r>
          </w:p>
        </w:tc>
        <w:tc>
          <w:tcPr>
            <w:tcW w:w="24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Revolving Credit Facility</w:t>
            </w:r>
          </w:p>
        </w:tc>
        <w:tc>
          <w:tcPr>
            <w:tcW w:w="2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3"/>
          </w:tcPr>
          <w:p>
            <w:pPr>
              <w:jc w:val="center"/>
              <w:ind w:left="419"/>
              <w:spacing w:after="0"/>
              <w:rPr>
                <w:sz w:val="20"/>
                <w:szCs w:val="20"/>
                <w:color w:val="auto"/>
              </w:rPr>
            </w:pPr>
            <w:r>
              <w:rPr>
                <w:rFonts w:ascii="Times New Roman" w:cs="Times New Roman" w:eastAsia="Times New Roman" w:hAnsi="Times New Roman"/>
                <w:sz w:val="18"/>
                <w:szCs w:val="18"/>
                <w:color w:val="auto"/>
              </w:rPr>
              <w:t>—   $</w:t>
            </w:r>
          </w:p>
        </w:tc>
        <w:tc>
          <w:tcPr>
            <w:tcW w:w="90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29,938</w:t>
            </w:r>
          </w:p>
        </w:tc>
        <w:tc>
          <w:tcPr>
            <w:tcW w:w="16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   29,938</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recorded value of the revolving credit facility approximates its fair value because of its floating rate structure based on the Prime Rate spread. The fair value measurement for the revolving credit facility represents Level 2 inputs.</w:t>
      </w:r>
    </w:p>
    <w:p>
      <w:pPr>
        <w:spacing w:after="0" w:line="16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Fair Values - Non Recurring</w:t>
      </w:r>
    </w:p>
    <w:p>
      <w:pPr>
        <w:spacing w:after="0" w:line="225"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fair value measurements of asset retirement obligations are measured on a nonrecurring basis when a well is drilled or acquired or when production equipment and facilities are installed or acquired using a discounted cash flow model based on inputs that are not observable in the market and therefore represent Level 3 inputs. Significant inputs to the fair value measurement of asset retirement obligations include estimates of the costs of plugging and abandoning oil and natural gas wells, removing production equipment and facilities and restoring the surface of the land as well as estimates of the economic lives of the oil and natural gas wells and future inflation rates. Asset retirement obligations incurred and acquired during the nine months ended September 30, 2022 were approximately $633 thousand.</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7" w:name="page18"/>
    <w:bookmarkEnd w:id="1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(PREDECESSOR TO GRANITE RIDGE RESOURCES,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03" w:lineRule="exact"/>
        <w:rPr>
          <w:sz w:val="20"/>
          <w:szCs w:val="20"/>
          <w:color w:val="auto"/>
        </w:rPr>
      </w:pPr>
    </w:p>
    <w:p>
      <w:pPr>
        <w:ind w:left="700" w:hanging="650"/>
        <w:spacing w:after="0"/>
        <w:tabs>
          <w:tab w:leader="none" w:pos="70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Oil and natural gas properties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Oil and natural gas properties consisted of only proved properties as of September 30, 2022 and December 31, 2021. The book value of the Partnership’s oil and natural gas properties consists of all acquisition costs, drilling costs and other associated capitalized costs.</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2022 Acquisitions</w:t>
      </w:r>
    </w:p>
    <w:p>
      <w:pPr>
        <w:spacing w:after="0" w:line="227" w:lineRule="exact"/>
        <w:rPr>
          <w:sz w:val="20"/>
          <w:szCs w:val="20"/>
          <w:color w:val="auto"/>
        </w:rPr>
      </w:pPr>
    </w:p>
    <w:p>
      <w:pPr>
        <w:ind w:left="60" w:right="259"/>
        <w:spacing w:after="0" w:line="258" w:lineRule="auto"/>
        <w:rPr>
          <w:sz w:val="20"/>
          <w:szCs w:val="20"/>
          <w:color w:val="auto"/>
        </w:rPr>
      </w:pPr>
      <w:r>
        <w:rPr>
          <w:rFonts w:ascii="Times New Roman" w:cs="Times New Roman" w:eastAsia="Times New Roman" w:hAnsi="Times New Roman"/>
          <w:sz w:val="18"/>
          <w:szCs w:val="18"/>
          <w:color w:val="auto"/>
        </w:rPr>
        <w:t xml:space="preserve">Acquisitions are accounted for as purchases and, accordingly, the results of operations are included in the accompanying statements of income from the closing date of the acquisition. For the three and nine months ended September 30, 2022, the Partnership acquired various proved oil and natural gas properties, which included working interests ranging </w:t>
      </w:r>
      <w:r>
        <w:rPr>
          <w:rFonts w:ascii="Times New Roman" w:cs="Times New Roman" w:eastAsia="Times New Roman" w:hAnsi="Times New Roman"/>
          <w:sz w:val="18"/>
          <w:szCs w:val="18"/>
          <w:color w:val="222222"/>
        </w:rPr>
        <w:t>from 2% to 30% and 0.51% to 43%, respectively, and net revenue interests ranging from 1% to 23%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22222"/>
        </w:rPr>
        <w:t xml:space="preserve">and 0.38% to 33%, respectively, </w:t>
      </w:r>
      <w:r>
        <w:rPr>
          <w:rFonts w:ascii="Times New Roman" w:cs="Times New Roman" w:eastAsia="Times New Roman" w:hAnsi="Times New Roman"/>
          <w:sz w:val="18"/>
          <w:szCs w:val="18"/>
          <w:color w:val="000000"/>
        </w:rPr>
        <w:t>in Texas and New Mexico.</w:t>
      </w:r>
    </w:p>
    <w:p>
      <w:pPr>
        <w:spacing w:after="0" w:line="183"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Permian Basin – The Partnership acquired proved undeveloped oil and natural gas properties in the Permian Basin of approximately $6,290 thousand and $25,328 thousand during the three and nine months ended September 30, 2022, respectively.</w:t>
      </w:r>
    </w:p>
    <w:p>
      <w:pPr>
        <w:spacing w:after="0" w:line="176"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DJ Basin – The Partnership acquired proved undeveloped oil and natural gas properties in the DJ Basin of approximately $2,833 thousand and $2,938 thousand during the three and nine months ended September 30, 2022, respectively.</w:t>
      </w:r>
    </w:p>
    <w:p>
      <w:pPr>
        <w:spacing w:after="0" w:line="176" w:lineRule="exact"/>
        <w:rPr>
          <w:sz w:val="20"/>
          <w:szCs w:val="20"/>
          <w:color w:val="auto"/>
        </w:rPr>
      </w:pPr>
    </w:p>
    <w:p>
      <w:pPr>
        <w:jc w:val="both"/>
        <w:ind w:left="60" w:right="279"/>
        <w:spacing w:after="0" w:line="282" w:lineRule="auto"/>
        <w:rPr>
          <w:sz w:val="20"/>
          <w:szCs w:val="20"/>
          <w:color w:val="auto"/>
        </w:rPr>
      </w:pPr>
      <w:r>
        <w:rPr>
          <w:rFonts w:ascii="Times New Roman" w:cs="Times New Roman" w:eastAsia="Times New Roman" w:hAnsi="Times New Roman"/>
          <w:sz w:val="18"/>
          <w:szCs w:val="18"/>
          <w:color w:val="auto"/>
        </w:rPr>
        <w:t>Haynesville – The Partnership acquired proved undeveloped oil and natural gas properties in the Haynesville Basin of approximately $2,992 thousand during the three and nine months ended September 30, 2022.</w:t>
      </w:r>
    </w:p>
    <w:p>
      <w:pPr>
        <w:spacing w:after="0" w:line="16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2022 Divestitures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The Partnership made no divestitures of oil and natural gas properties for the three months ended September 30, 2022.</w:t>
      </w:r>
    </w:p>
    <w:p>
      <w:pPr>
        <w:spacing w:after="0" w:line="225" w:lineRule="exact"/>
        <w:rPr>
          <w:sz w:val="20"/>
          <w:szCs w:val="20"/>
          <w:color w:val="auto"/>
        </w:rPr>
      </w:pPr>
    </w:p>
    <w:p>
      <w:pPr>
        <w:ind w:left="60" w:right="99"/>
        <w:spacing w:after="0" w:line="266" w:lineRule="auto"/>
        <w:rPr>
          <w:sz w:val="20"/>
          <w:szCs w:val="20"/>
          <w:color w:val="auto"/>
        </w:rPr>
      </w:pPr>
      <w:r>
        <w:rPr>
          <w:rFonts w:ascii="Times New Roman" w:cs="Times New Roman" w:eastAsia="Times New Roman" w:hAnsi="Times New Roman"/>
          <w:sz w:val="18"/>
          <w:szCs w:val="18"/>
          <w:color w:val="auto"/>
        </w:rPr>
        <w:t>Eagle Ford Basin – For the nine months ended September 30, 2022, the Partnership sold a partial unit of oil and natural gas properties in the Eagle Ford Basin for approximately $741 thousand, eliminating equivalent amounts from the oil and natural gas property accounts. No gain or loss was recorded.</w:t>
      </w:r>
    </w:p>
    <w:p>
      <w:pPr>
        <w:spacing w:after="0" w:line="17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2021 Acquisitions</w:t>
      </w:r>
    </w:p>
    <w:p>
      <w:pPr>
        <w:spacing w:after="0" w:line="227" w:lineRule="exact"/>
        <w:rPr>
          <w:sz w:val="20"/>
          <w:szCs w:val="20"/>
          <w:color w:val="auto"/>
        </w:rPr>
      </w:pPr>
    </w:p>
    <w:p>
      <w:pPr>
        <w:jc w:val="both"/>
        <w:ind w:left="60" w:right="259"/>
        <w:spacing w:after="0" w:line="261" w:lineRule="auto"/>
        <w:rPr>
          <w:sz w:val="20"/>
          <w:szCs w:val="20"/>
          <w:color w:val="auto"/>
        </w:rPr>
      </w:pPr>
      <w:r>
        <w:rPr>
          <w:rFonts w:ascii="Times New Roman" w:cs="Times New Roman" w:eastAsia="Times New Roman" w:hAnsi="Times New Roman"/>
          <w:sz w:val="18"/>
          <w:szCs w:val="18"/>
          <w:color w:val="auto"/>
        </w:rPr>
        <w:t>For the three and nine months ended September 30, 2021, the Partnership acquired various proved oil and natural gas properties, which included working interests ranging from 5% to 41.2% and 0.01% to 41.2%, respectively, and net revenue interests ranging from 4% and 30.3% and 0.01% to 31%, respectively, in Colorado, Texas, New Mexico and North Dakota.</w:t>
      </w:r>
    </w:p>
    <w:p>
      <w:pPr>
        <w:spacing w:after="0" w:line="180" w:lineRule="exact"/>
        <w:rPr>
          <w:sz w:val="20"/>
          <w:szCs w:val="20"/>
          <w:color w:val="auto"/>
        </w:rPr>
      </w:pPr>
    </w:p>
    <w:p>
      <w:pPr>
        <w:jc w:val="both"/>
        <w:ind w:left="60" w:right="259"/>
        <w:spacing w:after="0" w:line="266" w:lineRule="auto"/>
        <w:rPr>
          <w:sz w:val="20"/>
          <w:szCs w:val="20"/>
          <w:color w:val="auto"/>
        </w:rPr>
      </w:pPr>
      <w:r>
        <w:rPr>
          <w:rFonts w:ascii="Times New Roman" w:cs="Times New Roman" w:eastAsia="Times New Roman" w:hAnsi="Times New Roman"/>
          <w:sz w:val="18"/>
          <w:szCs w:val="18"/>
          <w:color w:val="auto"/>
        </w:rPr>
        <w:t>Bakken Basin – The Partnership did not acquire proved undeveloped oil and natural gas properties in the Bakken Basin during the three months ended September 30, 2021. During the nine months ended September 30, 2021, the Partnership acquired proved undeveloped oil and natural gas properties in the Bakken Basin of approximately $190 thousand.</w:t>
      </w:r>
    </w:p>
    <w:p>
      <w:pPr>
        <w:spacing w:after="0" w:line="176" w:lineRule="exact"/>
        <w:rPr>
          <w:sz w:val="20"/>
          <w:szCs w:val="20"/>
          <w:color w:val="auto"/>
        </w:rPr>
      </w:pPr>
    </w:p>
    <w:p>
      <w:pPr>
        <w:jc w:val="both"/>
        <w:ind w:left="60" w:right="279"/>
        <w:spacing w:after="0" w:line="266" w:lineRule="auto"/>
        <w:rPr>
          <w:sz w:val="20"/>
          <w:szCs w:val="20"/>
          <w:color w:val="auto"/>
        </w:rPr>
      </w:pPr>
      <w:r>
        <w:rPr>
          <w:rFonts w:ascii="Times New Roman" w:cs="Times New Roman" w:eastAsia="Times New Roman" w:hAnsi="Times New Roman"/>
          <w:sz w:val="18"/>
          <w:szCs w:val="18"/>
          <w:color w:val="auto"/>
        </w:rPr>
        <w:t>Permian Basin – The Partnership acquired proved undeveloped and proved developed oil and natural gas properties in the Permian Basin of approximately $17,444 thousand and $26,456 thousand during the three and nine months ended September 30, 2021, respectively.</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8" w:name="page19"/>
    <w:bookmarkEnd w:id="1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(PREDECESSOR TO GRANITE RIDGE RESOURCES,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07" w:lineRule="exact"/>
        <w:rPr>
          <w:sz w:val="20"/>
          <w:szCs w:val="20"/>
          <w:color w:val="auto"/>
        </w:rPr>
      </w:pPr>
    </w:p>
    <w:p>
      <w:pPr>
        <w:jc w:val="both"/>
        <w:ind w:left="60" w:right="259"/>
        <w:spacing w:after="0" w:line="261" w:lineRule="auto"/>
        <w:rPr>
          <w:sz w:val="20"/>
          <w:szCs w:val="20"/>
          <w:color w:val="auto"/>
        </w:rPr>
      </w:pPr>
      <w:r>
        <w:rPr>
          <w:rFonts w:ascii="Times New Roman" w:cs="Times New Roman" w:eastAsia="Times New Roman" w:hAnsi="Times New Roman"/>
          <w:sz w:val="18"/>
          <w:szCs w:val="18"/>
          <w:color w:val="auto"/>
        </w:rPr>
        <w:t>DJ Basin – The Partnership did not acquire proved developed producing oil and natural gas properties in the DJ Basin during the three months ended September 30, 2021. The Partnership acquired proved developed producing oil and natural gas properties in the DJ Basin of approximately $40,366 thousand during the nine months ended September 30, 2021.</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2021 Divestitures</w:t>
      </w:r>
    </w:p>
    <w:p>
      <w:pPr>
        <w:spacing w:after="0" w:line="227" w:lineRule="exact"/>
        <w:rPr>
          <w:sz w:val="20"/>
          <w:szCs w:val="20"/>
          <w:color w:val="auto"/>
        </w:rPr>
      </w:pPr>
    </w:p>
    <w:p>
      <w:pPr>
        <w:ind w:left="60" w:right="79"/>
        <w:spacing w:after="0" w:line="266" w:lineRule="auto"/>
        <w:rPr>
          <w:sz w:val="20"/>
          <w:szCs w:val="20"/>
          <w:color w:val="auto"/>
        </w:rPr>
      </w:pPr>
      <w:r>
        <w:rPr>
          <w:rFonts w:ascii="Times New Roman" w:cs="Times New Roman" w:eastAsia="Times New Roman" w:hAnsi="Times New Roman"/>
          <w:sz w:val="18"/>
          <w:szCs w:val="18"/>
          <w:color w:val="auto"/>
        </w:rPr>
        <w:t>Eagle Ford Basin – For the three and nine months ended September 30, 2021, the Partnership sold a partial unit of oil and natural gas properties in the Eagle Ford Basin for approximately $3,041 thousand, eliminating equivalent amounts from the oil and natural gas property accounts. No gain or loss was recorded.</w:t>
      </w:r>
    </w:p>
    <w:p>
      <w:pPr>
        <w:spacing w:after="0" w:line="172" w:lineRule="exact"/>
        <w:rPr>
          <w:sz w:val="20"/>
          <w:szCs w:val="20"/>
          <w:color w:val="auto"/>
        </w:rPr>
      </w:pPr>
    </w:p>
    <w:p>
      <w:pPr>
        <w:ind w:left="700" w:hanging="650"/>
        <w:spacing w:after="0"/>
        <w:tabs>
          <w:tab w:leader="none" w:pos="70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Partners’ capital</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Commitments and Contributions</w:t>
      </w:r>
    </w:p>
    <w:p>
      <w:pPr>
        <w:spacing w:after="0" w:line="227"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As of September 30, 2022, there were no contributions receivable from the General Partner. As of December 31, 2021, contributions receivable was approximately $84 thousand from the General Partner. As of September 30, 2022 and December 31, 2021, contributions receivable was approximately $10 thousand from the Limited Partners.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All limited partners of Grey Rock III-B Holdings are considered affiliates of the General Partner.</w:t>
      </w:r>
    </w:p>
    <w:p>
      <w:pPr>
        <w:spacing w:after="0" w:line="22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Allocation of Net Profits and Losses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The Partnership’s net profits or losses for any fiscal period shall be allocated among the partners in such manner that, as of the end of such fiscal period and to the greatest extent possible, the capital account of each partner shall be equal to the respective net amount, positive or negative, that would be distributed to such partner from the Partnership or for which such partner would be liable to the Partnership, determined as if, on the last day of such fiscal period, the Partnership were to (a) liquidate the assets of the Partnership for an amount equal to their book value and (b) distribute the proceeds in liquidation.</w:t>
      </w:r>
    </w:p>
    <w:p>
      <w:pPr>
        <w:spacing w:after="0" w:line="187" w:lineRule="exact"/>
        <w:rPr>
          <w:sz w:val="20"/>
          <w:szCs w:val="20"/>
          <w:color w:val="auto"/>
        </w:rPr>
      </w:pPr>
    </w:p>
    <w:p>
      <w:pPr>
        <w:ind w:left="1000" w:right="359" w:hanging="329"/>
        <w:spacing w:after="0" w:line="261" w:lineRule="auto"/>
        <w:tabs>
          <w:tab w:leader="none" w:pos="10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First, 100% to such partner until such partner has received cumulative distributions equal to such partner’s aggregate capital contributions to the Partnership for any purpose;</w:t>
      </w:r>
    </w:p>
    <w:p>
      <w:pPr>
        <w:ind w:left="1000" w:right="539" w:hanging="315"/>
        <w:spacing w:after="0" w:line="250" w:lineRule="auto"/>
        <w:tabs>
          <w:tab w:leader="none" w:pos="1000" w:val="left"/>
        </w:tabs>
        <w:numPr>
          <w:ilvl w:val="1"/>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Second, 100% to such partner until the aggregate distributions to such partner equal the preferred return amount of 8% per annum on the partner’s capital contributions;</w:t>
      </w:r>
    </w:p>
    <w:p>
      <w:pPr>
        <w:spacing w:after="0" w:line="1" w:lineRule="exact"/>
        <w:rPr>
          <w:sz w:val="20"/>
          <w:szCs w:val="20"/>
          <w:color w:val="auto"/>
        </w:rPr>
      </w:pPr>
    </w:p>
    <w:p>
      <w:pPr>
        <w:ind w:left="1000" w:right="179" w:hanging="329"/>
        <w:spacing w:after="0" w:line="250" w:lineRule="auto"/>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 80% to the General Partner and 20% to such partner until the General Partner has received cumulative distributions equal to 20% of the cumulative amount of distributions made pursuant to (c) and previously made pursuant to (b); and</w:t>
      </w:r>
    </w:p>
    <w:p>
      <w:pPr>
        <w:spacing w:after="0" w:line="1" w:lineRule="exact"/>
        <w:rPr>
          <w:rFonts w:ascii="Times New Roman" w:cs="Times New Roman" w:eastAsia="Times New Roman" w:hAnsi="Times New Roman"/>
          <w:sz w:val="18"/>
          <w:szCs w:val="18"/>
          <w:color w:val="auto"/>
        </w:rPr>
      </w:pPr>
    </w:p>
    <w:p>
      <w:pPr>
        <w:ind w:left="1000" w:hanging="329"/>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Thereafter, 20% to the General Partner and 80% to such partner.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19" w:name="page20"/>
    <w:bookmarkEnd w:id="1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(PREDECESSOR TO GRANITE RIDGE RESOURCES,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07" w:lineRule="exact"/>
        <w:rPr>
          <w:sz w:val="20"/>
          <w:szCs w:val="20"/>
          <w:color w:val="auto"/>
        </w:rPr>
      </w:pPr>
    </w:p>
    <w:p>
      <w:pPr>
        <w:ind w:left="60" w:right="99"/>
        <w:spacing w:after="0" w:line="261" w:lineRule="auto"/>
        <w:rPr>
          <w:sz w:val="20"/>
          <w:szCs w:val="20"/>
          <w:color w:val="auto"/>
        </w:rPr>
      </w:pPr>
      <w:r>
        <w:rPr>
          <w:rFonts w:ascii="Times New Roman" w:cs="Times New Roman" w:eastAsia="Times New Roman" w:hAnsi="Times New Roman"/>
          <w:sz w:val="18"/>
          <w:szCs w:val="18"/>
          <w:color w:val="auto"/>
        </w:rPr>
        <w:t>The reallocation to the general partner from the limited partners was approximately $6,654 thousand and $25,623 thousand for the three and nine months ended September 30, 2022, respectively. The reallocation to the general partner from the limited partners was approximately $12,856 thousand for the three and nine months ended September 30, 2021. The allocation of carried interest will remain provisional until the final liquidation of the Partnership.</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Distributions</w:t>
      </w:r>
    </w:p>
    <w:p>
      <w:pPr>
        <w:spacing w:after="0" w:line="22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In accordance with the Limited Partnership Agreement (“LPA”), all distributions shall be made, at such times and in such amounts as determined in the sole discretion of the General Partner, to the partners in proportion to their Partnership percentage interests. For the three and nine months ended September 30, 2022 and 2021, the Partnership did not make any distributions.</w:t>
      </w:r>
    </w:p>
    <w:p>
      <w:pPr>
        <w:spacing w:after="0" w:line="176" w:lineRule="exact"/>
        <w:rPr>
          <w:sz w:val="20"/>
          <w:szCs w:val="20"/>
          <w:color w:val="auto"/>
        </w:rPr>
      </w:pPr>
    </w:p>
    <w:p>
      <w:pPr>
        <w:ind w:left="700" w:hanging="650"/>
        <w:spacing w:after="0"/>
        <w:tabs>
          <w:tab w:leader="none" w:pos="700" w:val="left"/>
        </w:tabs>
        <w:numPr>
          <w:ilvl w:val="0"/>
          <w:numId w:val="1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Related party transactions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Partnership pays an annual management fee to the Management Company, an entity under common control, as compensation for providing managerial services to the Partnership. The management fee will accrue beginning on the initial closing date of the Partnership and will be payable to the Management Company quarterly, in advance, calculated as of the first day of each fiscal quarter and prorated appropriately for partial quarters. Limited partners will be assessed one and one-half (1.5%) per annum of such limited partner’s aggregate capital commitment. For the three months ended September 30, 2022 and 2021, management fees were $919 thousand and $969 thousand, respectively. For the nine months ended September 30, 2022 and 2021, management fees were $2,808 thousand and $2,908 thousand, respectively. Management fees are included in general and administrative fees on the accompanying condensed combined statements of income.</w:t>
      </w:r>
    </w:p>
    <w:p>
      <w:pPr>
        <w:spacing w:after="0" w:line="188"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of September 30, 2022, the Partnership did not have any related party payables with the Management Company. As of December 31, 2021, the Partnership had a related party payable with the Management Company for organizational expenses incurred on behalf of the Partnership of $8 thousand, respectively, that was included in accrued expenses on the accompanying condensed combined balance sheets.</w:t>
      </w:r>
    </w:p>
    <w:p>
      <w:pPr>
        <w:spacing w:after="0" w:line="392" w:lineRule="exact"/>
        <w:rPr>
          <w:sz w:val="20"/>
          <w:szCs w:val="20"/>
          <w:color w:val="auto"/>
        </w:rPr>
      </w:pPr>
    </w:p>
    <w:p>
      <w:pPr>
        <w:ind w:left="700" w:hanging="650"/>
        <w:spacing w:after="0"/>
        <w:tabs>
          <w:tab w:leader="none" w:pos="700" w:val="left"/>
        </w:tabs>
        <w:numPr>
          <w:ilvl w:val="0"/>
          <w:numId w:val="1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Partnership is subject to various possible contingencies that arise primarily from interpretation of federal and state laws and regulations affecting the oil and natural gas industry. Such contingencies include differing interpretations as to the prices at which oil and natural gas sales may be made, the prices at which royalty owners may be paid for production from their leases, environmental issues, and other matters. Although management believes that it has complied with the various laws and regulations, administrative rulings, and interpretations thereof, adjustments could be required as new interpretations and regulations are issued. In addition, environmental matters are subject to regulation by various federal and state agencies. The Partnership is currently not a party to any material pending legal proceedings that would give rise to potential loss contingencies.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231F20"/>
        </w:rPr>
        <w:t>As of September 30, 2022, the Partnership had incurred approximately $</w:t>
      </w:r>
      <w:r>
        <w:rPr>
          <w:rFonts w:ascii="Times New Roman" w:cs="Times New Roman" w:eastAsia="Times New Roman" w:hAnsi="Times New Roman"/>
          <w:sz w:val="18"/>
          <w:szCs w:val="18"/>
          <w:color w:val="000000"/>
        </w:rPr>
        <w:t>15,757</w:t>
      </w:r>
      <w:r>
        <w:rPr>
          <w:rFonts w:ascii="Times New Roman" w:cs="Times New Roman" w:eastAsia="Times New Roman" w:hAnsi="Times New Roman"/>
          <w:sz w:val="18"/>
          <w:szCs w:val="18"/>
          <w:color w:val="231F20"/>
        </w:rPr>
        <w:t xml:space="preserve"> thousand in capital expenditures that were included in accounts payable, and the Partnership estimates that it is committed to an additional approximately $50,000 thousand in development capital expenditures not yet incurred for wells the Partnership elected to participate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0" w:name="page21"/>
    <w:bookmarkEnd w:id="2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(PREDECESSOR TO GRANITE RIDGE RESOURCES,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03" w:lineRule="exact"/>
        <w:rPr>
          <w:sz w:val="20"/>
          <w:szCs w:val="20"/>
          <w:color w:val="auto"/>
        </w:rPr>
      </w:pPr>
    </w:p>
    <w:p>
      <w:pPr>
        <w:ind w:left="700" w:hanging="650"/>
        <w:spacing w:after="0"/>
        <w:tabs>
          <w:tab w:leader="none" w:pos="700" w:val="left"/>
        </w:tabs>
        <w:numPr>
          <w:ilvl w:val="0"/>
          <w:numId w:val="1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Credit facility</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Since 2018, the Partnership has maintained a revolving credit facility (the “Facility”) with a borrowing capacity of $100,000 thousand, of which, as of September 30, 2022 and December 31, 2021, $0 and $30,000 thousand was outstanding, respectively.</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Facility is collateralized by all of the Partnership’s oil and natural gas properties and requires compliance with certain financial covenants. As of September 30, 2022, the Partnership, was in compliance with all covenants required by the Facility. Further, the Partnership did not have any unamortized loan origination costs as of September 30, 2022. As of December 31, 2021, the Partnership had unamortized loan origination costs of $62 thousand.</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Additionally, the Facility bears interest at an annual base rate of the Prime Rate minus an acceptable margin of 0.50%. As of September 30, 2022 and December 31 2021, the weighted average interest rate on borrowed amounts was approximately 4.47% and 3.35%, respectively. As of September 30, 2022, the Partnership repaid amounts outstanding under the Facility and the Facility was terminated on October 24, 2022 in connection with the closing of the Business Combination and Granite Ridge’s entry into a new credit facility.</w:t>
      </w:r>
    </w:p>
    <w:p>
      <w:pPr>
        <w:spacing w:after="0" w:line="395" w:lineRule="exact"/>
        <w:rPr>
          <w:sz w:val="20"/>
          <w:szCs w:val="20"/>
          <w:color w:val="auto"/>
        </w:rPr>
      </w:pPr>
    </w:p>
    <w:p>
      <w:pPr>
        <w:ind w:left="700" w:hanging="650"/>
        <w:spacing w:after="0"/>
        <w:tabs>
          <w:tab w:leader="none" w:pos="70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Risk concentrations</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a non-operator, 100% of the Partnership’s wells are operated by third-party operating partners. As a result, the Partnership is highly dependent on the success of these third-party operators. If they are not successful in the development, exploitation, production and exploration activities relating to the Partnership’s leasehold interests, or are unable or unwilling to perform, the Partnership’s financial condition and results of operation could be adversely affected. These risks are heightened in a low commodity price environment, which may present significant challenges to these third-party operators. The Partnership’s third-party operators will make decisions in connection with their operations that may not be in the Partnership’s best interests, and the Partnership may have little or no ability to exercise influence over the operational decisions of its third-party operators</w:t>
      </w:r>
      <w:r>
        <w:rPr>
          <w:rFonts w:ascii="Times New Roman" w:cs="Times New Roman" w:eastAsia="Times New Roman" w:hAnsi="Times New Roman"/>
          <w:sz w:val="18"/>
          <w:szCs w:val="18"/>
          <w:b w:val="1"/>
          <w:bCs w:val="1"/>
          <w:color w:val="auto"/>
        </w:rPr>
        <w:t>.</w:t>
      </w:r>
    </w:p>
    <w:p>
      <w:pPr>
        <w:spacing w:after="0" w:line="192"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In the normal course of business, the Partnership maintains its cash balances in financial institutions, which at times may exceed federally insured limits. The Partnership is subject to credit risk to the extent any financial institution with which it conducts business is unable to fulfill contractual obligations on its behalf. Management monitors the financial condition of such financial institutions and does not anticipate any losses from these counterparties. The outbreak of the novel coronavirus and the military conflict between Russia and Ukraine continue to significantly impact the worldwide economy and specific economic sectors. As a result, commodity prices remain volatile, which may impact the Partnership’s performance and may lead to future losses.</w:t>
      </w:r>
    </w:p>
    <w:p>
      <w:pPr>
        <w:spacing w:after="0" w:line="200" w:lineRule="exact"/>
        <w:rPr>
          <w:sz w:val="20"/>
          <w:szCs w:val="20"/>
          <w:color w:val="auto"/>
        </w:rPr>
      </w:pPr>
    </w:p>
    <w:p>
      <w:pPr>
        <w:spacing w:after="0" w:line="201" w:lineRule="exact"/>
        <w:rPr>
          <w:sz w:val="20"/>
          <w:szCs w:val="20"/>
          <w:color w:val="auto"/>
        </w:rPr>
      </w:pPr>
    </w:p>
    <w:p>
      <w:pPr>
        <w:ind w:left="700" w:hanging="650"/>
        <w:spacing w:after="0"/>
        <w:tabs>
          <w:tab w:leader="none" w:pos="700" w:val="left"/>
        </w:tabs>
        <w:numPr>
          <w:ilvl w:val="0"/>
          <w:numId w:val="1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Subsequent events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In connection with preparing the condensed combined financial statements for the three and nine months ended September 30, 2022, management has evaluated subsequent events for potential recognition and disclosure through the date November 14, 2022, which is the date the condensed combined financial statements were available to be issued.</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1" w:name="page22"/>
    <w:bookmarkEnd w:id="2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CONDENSED COMBINED FINANCIAL STATEMENTS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(PREDECESSOR TO GRANITE RIDGE RESOURCES, INC.)</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SEPTEMBER 30, 2022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0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As discussed in Note 1—Nature of Operations, on May 16, 2022, GREP entered into a business combination agreement with ENPC, a NYSE publicly traded special purpose acquisition company and Granite Ridge. The Business Combination closed on October 24, 2022 as a result of which GREP and ENPC became wholly-owned subsidiaries of Granite Ridge. Granite Ridge’s common stock and warrants are listed on the NYSE. Refer to Note 1 for additional information.</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On October 24, 2022, Granite Ridge entered into a senior secured revolving credit agreement (the “Credit Agreement”) among Granite Ridge, as borrower, Texas Capital Bank, as administrative agent, and the lenders from time to time party thereto. The Credit Agreement has a maturity date of five years from the effective date thereof.</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The Credit Agreement provides for aggregate elected commitments of $150.0 million, an initial borrowing base of $325.0 million and an aggregate maximum revolving credit amount of $1,000.0 million. The borrowing base is scheduled to be redetermined semiannually on or about April 1 and October 1 of each calendar year, commencing April 1, 2023, and is subject to additional adjustments from time to time, including for asset sales, elimination or reduction of hedge positions and incurrence of other debt. Additionally, the borrower and each of the Required Lenders (as defined in the Credit Agreement) may request one unscheduled redetermination of the borrowing base between each scheduled redetermination. The amount of the borrowing base is determined by the lenders in their sole discretion and consistent with the oil and gas lending criteria of the lenders at the time of the relevant redetermination. The amount Granite Ridge is able to borrow under the Credit Agreement is subject to compliance with the financial covenants, satisfaction of various conditions precedent to borrowing and other provisions of the Credit Agreement. Granite Ridge does not have any borrowings or letters of credit outstanding under the Credit Agreement, resulting in availability of $150.0 million. The Credit Agreement is guaranteed by the restricted subsidiaries of Granite Ridge and is secured by a first priority mortgage and security interest in substantially all assets of the Company and its restricted subsidiaries.</w:t>
      </w:r>
    </w:p>
    <w:p>
      <w:pPr>
        <w:spacing w:after="0" w:line="187"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In conjunction with the Credit Agreement, on October 24, 2022, all derivative contracts outstanding with GREP were novated to Granite Ridge.</w:t>
      </w:r>
    </w:p>
    <w:p>
      <w:pPr>
        <w:spacing w:after="0" w:line="162" w:lineRule="exact"/>
        <w:rPr>
          <w:sz w:val="20"/>
          <w:szCs w:val="20"/>
          <w:color w:val="auto"/>
        </w:rPr>
      </w:pPr>
    </w:p>
    <w:p>
      <w:pPr>
        <w:ind w:left="60" w:right="99"/>
        <w:spacing w:after="0" w:line="256" w:lineRule="auto"/>
        <w:rPr>
          <w:sz w:val="20"/>
          <w:szCs w:val="20"/>
          <w:color w:val="auto"/>
        </w:rPr>
      </w:pPr>
      <w:r>
        <w:rPr>
          <w:rFonts w:ascii="Times New Roman" w:cs="Times New Roman" w:eastAsia="Times New Roman" w:hAnsi="Times New Roman"/>
          <w:sz w:val="18"/>
          <w:szCs w:val="18"/>
          <w:color w:val="auto"/>
        </w:rPr>
        <w:t>Granite Ridge’s board of directors recently declared a dividend of $0.08 per share of Granite Ridge’s common stock. The dividend is payable on December 15, 2022 to stockholders of record on December 1, 2022. This dividend payout is aligned with Granite Ridge’s intent to pay a minimum dividend of $60 million per year to its shareholders, which would currently equate to $0.45 per share annually or an approximate five percent dividend yield. The initial common dividend was prorated to October 24, 2022, the effective date of Granite Ridge’s business combination, which equaled $0.08 per common share for the quarter.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2" w:name="page23"/>
    <w:bookmarkEnd w:id="2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right="179"/>
        <w:spacing w:after="0" w:line="286" w:lineRule="auto"/>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57"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i w:val="1"/>
          <w:iCs w:val="1"/>
          <w:color w:val="231F20"/>
        </w:rPr>
        <w:t xml:space="preserve">In this Quarterly Report on Form 10-Q, unless otherwise specified or the context otherwise requires, “Grey Rock,” “we,” “us,” and “our” refer to Grey Rock Energy Fund III. </w:t>
      </w:r>
      <w:r>
        <w:rPr>
          <w:rFonts w:ascii="Times New Roman" w:cs="Times New Roman" w:eastAsia="Times New Roman" w:hAnsi="Times New Roman"/>
          <w:sz w:val="18"/>
          <w:szCs w:val="18"/>
          <w:i w:val="1"/>
          <w:iCs w:val="1"/>
          <w:color w:val="000000"/>
        </w:rPr>
        <w:t>Unless otherwise indicated, the historical financial information in</w:t>
      </w:r>
      <w:r>
        <w:rPr>
          <w:rFonts w:ascii="Times New Roman" w:cs="Times New Roman" w:eastAsia="Times New Roman" w:hAnsi="Times New Roman"/>
          <w:sz w:val="18"/>
          <w:szCs w:val="18"/>
          <w:i w:val="1"/>
          <w:iCs w:val="1"/>
          <w:color w:val="231F20"/>
        </w:rPr>
        <w:t xml:space="preserve"> </w:t>
      </w:r>
      <w:r>
        <w:rPr>
          <w:rFonts w:ascii="Times New Roman" w:cs="Times New Roman" w:eastAsia="Times New Roman" w:hAnsi="Times New Roman"/>
          <w:sz w:val="18"/>
          <w:szCs w:val="18"/>
          <w:i w:val="1"/>
          <w:iCs w:val="1"/>
          <w:color w:val="000000"/>
        </w:rPr>
        <w:t>this “Management’s Discussion and Analysis of Financial Condition and Results of Operations” reflects the historical financial results of our Predecessor, Grey Rock Energy Fund III, on an individual basis unless otherwise noted.</w:t>
      </w:r>
    </w:p>
    <w:p>
      <w:pPr>
        <w:spacing w:after="0" w:line="1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Cautionary Statement Concerning Forward-Looking Statements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This report contains forward-looking statements regarding future events and our future results that are subject to the safe harbors created under the Securities Act of 1933 (the “Securities Act”) and the Securities Exchange Act of 1934 (the “Exchange Act”). All statements other than statements of historical facts included in this report regarding our financial position, business strategy, plans and objectives of management for future operations, industry conditions, indebtedness covenant compliance, capital expenditures, production, cash flow, borrowing base under our revolving credit facility, and impairment are forward-looking statements. When used in this report, forward-looking statements are generally accompanied by terms or phrases such as “estimate,” “project,” “predict,” “believe,” “expect,” “continue,” “anticipate,” “target,” “could,” “plan,” “intend,” “seek,” “goal,” “will,” “should,” “may” or other words and similar expressions that convey the uncertainty of future events or outcomes. Items contemplating or making assumptions about actual or potential future production sales, market size, collaborations, and trends or operating results also constitute such forward-looking statements.</w:t>
      </w:r>
    </w:p>
    <w:p>
      <w:pPr>
        <w:spacing w:after="0" w:line="192"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Forward-looking statements involve inherent risks and uncertainties, and important factors (many of which are beyond our control) that could cause actual results to differ materially from those set forth in the forward-looking statements, including the following:</w:t>
      </w:r>
    </w:p>
    <w:p>
      <w:pPr>
        <w:spacing w:after="0" w:line="176" w:lineRule="exact"/>
        <w:rPr>
          <w:sz w:val="20"/>
          <w:szCs w:val="20"/>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to recognize the anticipated benefits of the Business Combination;</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Granite Ridge’s financial performance following the Business Combination;</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Granite Ridge’s strategy, future operations, financial position, estimated revenues and losses, projected costs, prospectus and plans;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current or future commodity prices and interest rates;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supply chain disruptions;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infrastructure constraints and related factors affecting our properties;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expansion plans and opportunities;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operational risks including, but not limited to, the pace of drilling and completions activity on our properties;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markets in which Granite Ridge competes;</w:t>
      </w:r>
    </w:p>
    <w:p>
      <w:pPr>
        <w:spacing w:after="0" w:line="225" w:lineRule="exact"/>
        <w:rPr>
          <w:rFonts w:ascii="Times New Roman" w:cs="Times New Roman" w:eastAsia="Times New Roman" w:hAnsi="Times New Roman"/>
          <w:sz w:val="18"/>
          <w:szCs w:val="18"/>
          <w:color w:val="auto"/>
        </w:rPr>
      </w:pPr>
    </w:p>
    <w:p>
      <w:pPr>
        <w:ind w:left="1040" w:right="79" w:hanging="315"/>
        <w:spacing w:after="0" w:line="282" w:lineRule="auto"/>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geopolitical risk and changes in applicable laws, legislation, or regulations, including those relating to environmental matters;</w:t>
      </w:r>
    </w:p>
    <w:p>
      <w:pPr>
        <w:spacing w:after="0" w:line="161"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cyber-related risks;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3" w:name="page24"/>
    <w:bookmarkEnd w:id="2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1040" w:right="79" w:hanging="315"/>
        <w:spacing w:after="0" w:line="266" w:lineRule="auto"/>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fact that reserve estimates depend on many assumptions that may turn out to be inaccurate and that any material inaccuracies in reserve estimates or underlying assumptions will materially affect the quantities and present value of the Company’s reserves;</w:t>
      </w:r>
    </w:p>
    <w:p>
      <w:pPr>
        <w:spacing w:after="0" w:line="17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any known and unknown litigation and regulatory proceedings;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limited liquidity and trading of Granite Ridge’s securities;</w:t>
      </w:r>
    </w:p>
    <w:p>
      <w:pPr>
        <w:spacing w:after="0" w:line="225" w:lineRule="exact"/>
        <w:rPr>
          <w:rFonts w:ascii="Times New Roman" w:cs="Times New Roman" w:eastAsia="Times New Roman" w:hAnsi="Times New Roman"/>
          <w:sz w:val="18"/>
          <w:szCs w:val="18"/>
          <w:color w:val="auto"/>
        </w:rPr>
      </w:pPr>
    </w:p>
    <w:p>
      <w:pPr>
        <w:ind w:left="1040" w:hanging="315"/>
        <w:spacing w:after="0"/>
        <w:tabs>
          <w:tab w:leader="none" w:pos="10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acts of war or terrorism; and</w:t>
      </w:r>
    </w:p>
    <w:p>
      <w:pPr>
        <w:spacing w:after="0" w:line="225" w:lineRule="exact"/>
        <w:rPr>
          <w:rFonts w:ascii="Times New Roman" w:cs="Times New Roman" w:eastAsia="Times New Roman" w:hAnsi="Times New Roman"/>
          <w:sz w:val="18"/>
          <w:szCs w:val="18"/>
          <w:color w:val="auto"/>
        </w:rPr>
      </w:pPr>
    </w:p>
    <w:p>
      <w:pPr>
        <w:jc w:val="both"/>
        <w:ind w:left="1040" w:right="79" w:hanging="315"/>
        <w:spacing w:after="0" w:line="289" w:lineRule="auto"/>
        <w:tabs>
          <w:tab w:leader="none" w:pos="10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market conditions and global, regulatory, technical, and economic factors beyond Granite Ridge’s control, including the potential adverse effects of the COVID-19 pandemic, or another major disease, affecting capital markets, general economic conditions, global supply chains and Granite Ridge’s business and operations.</w:t>
      </w:r>
    </w:p>
    <w:p>
      <w:pPr>
        <w:spacing w:after="0" w:line="158"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We have based any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Accordingly, results achieved may differ materially from expected results described in these statements. You should consider carefully the statements in the section entitled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and other sections of our Registration Statement on Form S-4/A filed with the SEC on September 12, 2022, which describe factors that could cause our actual results to differ from those set forth in the forward-looking statements. Forward-looking statements speak only as of the date they are made. We do not undertake, and specifically disclaim, any obligation to update any forward-looking statements to reflect events or circumstances occurring after the date of such statements.</w:t>
      </w:r>
    </w:p>
    <w:p>
      <w:pPr>
        <w:spacing w:after="0" w:line="188"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following discussion should be read in conjunction with the unaudited condensed combined financial statements and accompanying notes to condensed combined financial statements appearing elsewhere in this report.</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hold strategic investments in non-operated working interests in diversified upstream oil and natural gas assets in North America. As a non-operator, we have been able to diversify our investment exposure by participating in a large number of gross wells, as well as entering into additional project areas by partnering with numerous experienced operating partners that utilize the latest completion techniques in core unconventional basins across the United States.</w:t>
      </w:r>
    </w:p>
    <w:p>
      <w:pPr>
        <w:spacing w:after="0" w:line="180"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We have achieved capital appreciation through our assets and earned income through investments, directly or indirectly, through our special purpose subsidiaries, in non-operated working interests in diversified upstream oil and natural gas assets in North America.</w:t>
      </w:r>
    </w:p>
    <w:p>
      <w:pPr>
        <w:spacing w:after="0" w:line="176"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231F20"/>
        </w:rPr>
        <w:t xml:space="preserve">Pursuant to our investment strategies, Fund III collectively participated in </w:t>
      </w:r>
      <w:r>
        <w:rPr>
          <w:rFonts w:ascii="Times New Roman" w:cs="Times New Roman" w:eastAsia="Times New Roman" w:hAnsi="Times New Roman"/>
          <w:sz w:val="16"/>
          <w:szCs w:val="16"/>
          <w:color w:val="000000"/>
        </w:rPr>
        <w:t>977</w:t>
      </w:r>
      <w:r>
        <w:rPr>
          <w:rFonts w:ascii="Times New Roman" w:cs="Times New Roman" w:eastAsia="Times New Roman" w:hAnsi="Times New Roman"/>
          <w:sz w:val="18"/>
          <w:szCs w:val="18"/>
          <w:color w:val="231F20"/>
        </w:rPr>
        <w:t xml:space="preserve"> gross (</w:t>
      </w:r>
      <w:r>
        <w:rPr>
          <w:rFonts w:ascii="Times New Roman" w:cs="Times New Roman" w:eastAsia="Times New Roman" w:hAnsi="Times New Roman"/>
          <w:sz w:val="16"/>
          <w:szCs w:val="16"/>
          <w:color w:val="000000"/>
        </w:rPr>
        <w:t>58</w:t>
      </w:r>
      <w:r>
        <w:rPr>
          <w:rFonts w:ascii="Times New Roman" w:cs="Times New Roman" w:eastAsia="Times New Roman" w:hAnsi="Times New Roman"/>
          <w:sz w:val="18"/>
          <w:szCs w:val="18"/>
          <w:color w:val="231F20"/>
        </w:rPr>
        <w:t xml:space="preserve"> net) producing wells as of September 30, 2022 with a core focus in the premier basins within the United States. As of December 31, 2021, Fund III collectively participated in 862 gross (46 net) producing wells. As of September 30, 2022 and December 31, 2021, Fund III leased approximately </w:t>
      </w:r>
      <w:r>
        <w:rPr>
          <w:rFonts w:ascii="Times New Roman" w:cs="Times New Roman" w:eastAsia="Times New Roman" w:hAnsi="Times New Roman"/>
          <w:sz w:val="16"/>
          <w:szCs w:val="16"/>
          <w:color w:val="000000"/>
        </w:rPr>
        <w:t>43,857</w:t>
      </w:r>
      <w:r>
        <w:rPr>
          <w:rFonts w:ascii="Times New Roman" w:cs="Times New Roman" w:eastAsia="Times New Roman" w:hAnsi="Times New Roman"/>
          <w:sz w:val="18"/>
          <w:szCs w:val="18"/>
          <w:color w:val="231F20"/>
        </w:rPr>
        <w:t xml:space="preserve"> gross (</w:t>
      </w:r>
      <w:r>
        <w:rPr>
          <w:rFonts w:ascii="Times New Roman" w:cs="Times New Roman" w:eastAsia="Times New Roman" w:hAnsi="Times New Roman"/>
          <w:sz w:val="16"/>
          <w:szCs w:val="16"/>
          <w:color w:val="000000"/>
        </w:rPr>
        <w:t>8,903</w:t>
      </w:r>
      <w:r>
        <w:rPr>
          <w:rFonts w:ascii="Times New Roman" w:cs="Times New Roman" w:eastAsia="Times New Roman" w:hAnsi="Times New Roman"/>
          <w:sz w:val="18"/>
          <w:szCs w:val="18"/>
          <w:color w:val="231F20"/>
        </w:rPr>
        <w:t xml:space="preserve"> net) and 35,378 gross (7,039 net) developed acres, and </w:t>
      </w:r>
      <w:r>
        <w:rPr>
          <w:rFonts w:ascii="Times New Roman" w:cs="Times New Roman" w:eastAsia="Times New Roman" w:hAnsi="Times New Roman"/>
          <w:sz w:val="16"/>
          <w:szCs w:val="16"/>
          <w:color w:val="000000"/>
        </w:rPr>
        <w:t>16,083</w:t>
      </w:r>
      <w:r>
        <w:rPr>
          <w:rFonts w:ascii="Times New Roman" w:cs="Times New Roman" w:eastAsia="Times New Roman" w:hAnsi="Times New Roman"/>
          <w:sz w:val="18"/>
          <w:szCs w:val="18"/>
          <w:color w:val="231F20"/>
        </w:rPr>
        <w:t xml:space="preserve"> gross (</w:t>
      </w:r>
      <w:r>
        <w:rPr>
          <w:rFonts w:ascii="Times New Roman" w:cs="Times New Roman" w:eastAsia="Times New Roman" w:hAnsi="Times New Roman"/>
          <w:sz w:val="16"/>
          <w:szCs w:val="16"/>
          <w:color w:val="000000"/>
        </w:rPr>
        <w:t>6,109</w:t>
      </w:r>
      <w:r>
        <w:rPr>
          <w:rFonts w:ascii="Times New Roman" w:cs="Times New Roman" w:eastAsia="Times New Roman" w:hAnsi="Times New Roman"/>
          <w:sz w:val="18"/>
          <w:szCs w:val="18"/>
          <w:color w:val="231F20"/>
        </w:rPr>
        <w:t xml:space="preserve"> net) and 18,488 gross (6,272 net) undeveloped acres, respectively, all located in the United States</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231F20"/>
        </w:rPr>
        <w:t xml:space="preserve">Fund III’s average daily production for the three and nine months ended September 30, 2022 was 12,259 Boe and 11,615 Boe per day, respectively. The increase in production is consistent with our increase in net producing wells which increased to </w:t>
      </w:r>
      <w:r>
        <w:rPr>
          <w:rFonts w:ascii="Times New Roman" w:cs="Times New Roman" w:eastAsia="Times New Roman" w:hAnsi="Times New Roman"/>
          <w:sz w:val="16"/>
          <w:szCs w:val="16"/>
          <w:color w:val="000000"/>
        </w:rPr>
        <w:t>58</w:t>
      </w:r>
      <w:r>
        <w:rPr>
          <w:rFonts w:ascii="Times New Roman" w:cs="Times New Roman" w:eastAsia="Times New Roman" w:hAnsi="Times New Roman"/>
          <w:sz w:val="18"/>
          <w:szCs w:val="18"/>
          <w:color w:val="231F20"/>
        </w:rPr>
        <w:t xml:space="preserve"> wells as of September 30, 2022, up from 46 as of the end of 2021. During 2021, our wells increased from 17 net wells at the beginning of 2021 to 46 net wells at the end of 2021. The increase in wells was primarily driven by Fund III’s acquisition of additional wells during the first nine months of 2022 and throughout 2021</w:t>
      </w:r>
      <w:r>
        <w:rPr>
          <w:rFonts w:ascii="Times New Roman" w:cs="Times New Roman" w:eastAsia="Times New Roman" w:hAnsi="Times New Roman"/>
          <w:sz w:val="18"/>
          <w:szCs w:val="18"/>
          <w:color w:val="000000"/>
        </w:rPr>
        <w:t>.</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4" w:name="page25"/>
    <w:bookmarkEnd w:id="2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Business Combination</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Fund III and certain other funds affiliated with Grey Rock formed GREP Holdings LLC, a Delaware limited liability company (“GREP”), who entered into a business combination agreement (“BCA”) on May 16, 2022 with Executive Network Partnering Corporation (“ENPC”), a Delaware corporation and New York Stock Exchange (“NYSE”) publicly traded special purpose acquisition company, Granite Ridge Resources, Inc., a Delaware corporation (“Granite Ridge”), ENPC Merger Sub, Inc., a Delaware corporation and a wholly-owned subsidiary of Granite Ridge (“ENPC Merger Sub”), and GREP Merger Sub, LLC, a Delaware limited liability company and a wholly-owned subsidiary of Granite Ridge (“GREP Merger Sub”), pursuant to which (i) ENPC Merger Sub merged with and into ENPC (the “ENPC Merger”), with ENPC surviving the ENPC Merger as a wholly-owned subsidiary of Granite Ridge and (ii) GREP Merger Sub merged with and into GREP (the “GREP Merger”), with GREP surviving the GREP Merger as a wholly-owned subsidiary of Granite Ridge (the transactions contemplated by the foregoing clauses (i) and (ii) the “Business Combination”). The BCA provided that in connection with the Business Combination the members of GREP would receive common stock of Granite Ridge in the business combination, valued at approximately $1.3 billion on May 16, 2022 upon execution of the BCA. The Business Combination closed on October 24, 2022. Granite Ridge is listed on the NYSE under the ticker symbol “GRNT”. To the extent any of the financial data included in this Quarterly Report on Form 10-Q is as of a date or from a period prior to the consummation of our Business Combination, such financial data is that of Fund III, the Predecessor. The financial data for the Predecessor for such periods does not reflect the material changes to the business as a result of the Business Combination. Accordingly, the financial data for the Predecessor is not necessarily indicative of our results of operations, cash flows or financial position following the completion of the Business Combination.</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Impacts of COVID-19 Pandemic and Geopolitical Factors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auto"/>
        </w:rPr>
        <w:t>The global spread of COVID-19 since early 2020 has created significant market volatility and economic uncertainty and disruption. The virus created unprecedented challenges for our industry, including a drastic decline in demand for crude oil and natural gas. This, combined with OPEC actions in early 2020, led to spot and future prices of crude oil falling to historic lows during the second quarter of 2020 and remaining depressed through much of 2020. Conditions have significantly improved with the increase in domestic vaccination programs and reduced spread of the COVID-19 virus overall, which have contributed to an improvement in the economy and higher realized prices for commodities since the beginning of 2021. However, the current price environment remains uncertain as responses to the COVID-19 pandemic and newly emerging variants of the virus continue evolve, as do operators’ production decisions in response to these macroeconomic factors. It remains difficult to predict how long the COVID-19 pandemic and related market conditions will persist and the resulting future effects on our business. While we use derivative instruments to partially mitigate the impact of commodity price volatility on revenues, our revenues and operating results depend significantly upon the prevailing prices for oil and natural gas. In addition, because our property interests are not operated by us, we have limited ability to influence or control the future development of such properties. In light of the current price and economic environment, we continue to be proactive with third-party operators to review spending and alter plans as appropriate. We currently expect that our cash flow from operations and borrowing availability under our credit facilities will allow us to meet our liquidity needs for at least the next 12 months.</w:t>
      </w:r>
    </w:p>
    <w:p>
      <w:pPr>
        <w:spacing w:after="0" w:line="19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In addition to the global COVID-19 pandemic, U.S. and global markets are experiencing volatility and disruption following the escalation of geopolitical tensions and the start of the military conflict between Russia and Ukraine. On February 24, 2022, a full-scale military invasion of Ukraine by Russian troops began. Although the length and impact of the ongoing military conflict is highly unpredictable, the conflict in Ukraine has led to market disruptions, including significant volatility in commodity prices, credit and capital markets, as well as supply chain disruptions. Various of Russia’s actions have led to sanctions and other penalties being levied by the U.S., the European Union, and other countries, as well as other public and private actors and companies, against Russia and certain other geographic areas, including restrictions on imports of Russian oil, liquefied natural gas and coal. Additional potential sanctions and penalties have also been proposed and/or threatened. These disruptions in the oil and gas markets have caused, and could continue to cause, significant volatility in energy prices, which could have a material effect on our business.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5" w:name="page26"/>
    <w:bookmarkEnd w:id="2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the United States and other countries have imposed sanctions on Russia which increases the risk that Russia, as a retaliatory action, may launch cyberattacks against the United States, its government, infrastructure and businesses. On March 21, 2022, the Biden Administration issued warnings about the potential for Russia to engage in malicious cyber activity against the United States in response to the economic sanctions that have been imposed. Prolonged unfavorable economic conditions or uncertainty as a result of the military conflict between Russia and Ukraine, may adversely affect our business, financial condition, and results of operations.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Environmental, Social and Corporate Governance Initiatives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are committed to developing industry-leading ESG programs and continually improving our ESG performance. We view exceptional ESG performance as an opportunity to differentiate us from our peers, provide for increased access to capital markets, mitigate risks and strengthen operational performance as well as benefit our stakeholders and the communities in which we operate.</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Source of Our Revenues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We derive our revenues from our interests in the sale of oil and natural gas production. Revenues are a function of production, the prevailing market price at the time of sale, oil quality, and transportation costs to market. We use derivative instruments to hedge future sales prices on a substantial, but varying, portion of our oil and natural gas production. We expect our derivative activities will help us achieve more predictable cash flows and reduce our exposure to downward price fluctuations. The use of derivative instruments has in the past, and may in the future, prevent us from realizing the full benefit of upward price movements but also mitigates the effects of declining price movements.</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Principal Components of Our Cost Structure</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 operating expenses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Lease operating expenses are the costs incurred in the operation of producing properties, including workover costs. Expenses for field employees’ salaries, saltwater disposal, ad valorem taxes, repairs and maintenance comprise the most significant portion of our lease operating expenses. Certain items, such as direct labor and materials and supplies, generally remain relatively fixed across broad production volume ranges, but can fluctuate depending on activities performed during a specific period. A portion of our operating cost components are variable and change in correlation to production levels.</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Production taxes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Production taxes are paid on produced oil and natural gas which is generated in Texas, Oklahoma, Montana, New Mexico, North Dakota, Louisiana and Colorado. We seek to take full advantage of all credits and exemptions in our various taxing jurisdictions. In general, the production taxes we pay correlate to the changes in oil and natural gas revenues.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Depletion and accretion expense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Depletion and accretion include the systematic expensing of the capitalized costs incurred to acquire, explore and develop oil and natural gas. As a “successful efforts” company, we capitalize all costs associated with our acquisition and successful development efforts and allocate these costs to each unit of production using the units of production method. Accretion expense relates to the passage of time of our asset retirement obligations.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Impairment expense</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We evaluate capitalized costs related to proved oil properties, including wells and related oil sales support equipment and facilities, for impairment on an annual basis. If undiscounted cash flows are insufficient to recover the net capitalized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6" w:name="page27"/>
    <w:bookmarkEnd w:id="2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costs, we recognize an impairment charge for the difference between the net capitalized cost of proved properties and their estimated fair values.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General and administrative expenses include overhead, including payroll and benefits for our corporate staff, costs of maintaining our headquarters, costs of managing our acquisition and development operations, management fees, audit and other professional fees and legal compliance.</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We finance a portion of our working capital requirements, capital expenditures and acquisitions with borrowings. As a result, we incur interest expense that is affected by both fluctuations in interest rates and our financing decisions.</w:t>
      </w:r>
    </w:p>
    <w:p>
      <w:pPr>
        <w:spacing w:after="0" w:line="15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Gain (loss) on derivative contracts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utilize commodity derivative financial instruments to reduce our exposure to fluctuations in the prices of oil and gas. Gain (loss) on derivative contracts is comprised of (i) cash gains and losses we recognize on settled commodity derivatives during the period, and (ii) non-cash mark-to-market gains and losses we incur on commodity derivative instruments outstanding at period-end.</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Selected Factors That Affect Our Operating Results</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Our revenues, cash flows from operations and future growth depend substantially upon;</w:t>
      </w:r>
    </w:p>
    <w:p>
      <w:pPr>
        <w:spacing w:after="0" w:line="225" w:lineRule="exact"/>
        <w:rPr>
          <w:sz w:val="20"/>
          <w:szCs w:val="20"/>
          <w:color w:val="auto"/>
        </w:rPr>
      </w:pPr>
    </w:p>
    <w:p>
      <w:pPr>
        <w:ind w:left="960" w:hanging="329"/>
        <w:spacing w:after="0"/>
        <w:tabs>
          <w:tab w:leader="none" w:pos="9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timing and success of drilling and production activities by our operating partners;</w:t>
      </w:r>
    </w:p>
    <w:p>
      <w:pPr>
        <w:spacing w:after="0" w:line="225" w:lineRule="exact"/>
        <w:rPr>
          <w:rFonts w:ascii="Times New Roman" w:cs="Times New Roman" w:eastAsia="Times New Roman" w:hAnsi="Times New Roman"/>
          <w:sz w:val="18"/>
          <w:szCs w:val="18"/>
          <w:color w:val="231F20"/>
        </w:rPr>
      </w:pPr>
    </w:p>
    <w:p>
      <w:pPr>
        <w:ind w:left="960" w:hanging="329"/>
        <w:spacing w:after="0"/>
        <w:tabs>
          <w:tab w:leader="none" w:pos="9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prices and the supply and demand for oil and natural gas;</w:t>
      </w:r>
    </w:p>
    <w:p>
      <w:pPr>
        <w:spacing w:after="0" w:line="225" w:lineRule="exact"/>
        <w:rPr>
          <w:rFonts w:ascii="Times New Roman" w:cs="Times New Roman" w:eastAsia="Times New Roman" w:hAnsi="Times New Roman"/>
          <w:sz w:val="18"/>
          <w:szCs w:val="18"/>
          <w:color w:val="231F20"/>
        </w:rPr>
      </w:pPr>
    </w:p>
    <w:p>
      <w:pPr>
        <w:ind w:left="960" w:hanging="329"/>
        <w:spacing w:after="0"/>
        <w:tabs>
          <w:tab w:leader="none" w:pos="9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quantity of oil and natural gas production from the wells in which we participate;</w:t>
      </w:r>
    </w:p>
    <w:p>
      <w:pPr>
        <w:spacing w:after="0" w:line="225" w:lineRule="exact"/>
        <w:rPr>
          <w:rFonts w:ascii="Times New Roman" w:cs="Times New Roman" w:eastAsia="Times New Roman" w:hAnsi="Times New Roman"/>
          <w:sz w:val="18"/>
          <w:szCs w:val="18"/>
          <w:color w:val="231F20"/>
        </w:rPr>
      </w:pPr>
    </w:p>
    <w:p>
      <w:pPr>
        <w:ind w:left="960" w:right="439" w:hanging="329"/>
        <w:spacing w:after="0" w:line="282" w:lineRule="auto"/>
        <w:tabs>
          <w:tab w:leader="none" w:pos="9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changes in the fair value of the derivative instruments we use to reduce our exposure to fluctuations in the price of oil and natural gas;</w:t>
      </w:r>
    </w:p>
    <w:p>
      <w:pPr>
        <w:spacing w:after="0" w:line="161" w:lineRule="exact"/>
        <w:rPr>
          <w:rFonts w:ascii="Times New Roman" w:cs="Times New Roman" w:eastAsia="Times New Roman" w:hAnsi="Times New Roman"/>
          <w:sz w:val="18"/>
          <w:szCs w:val="18"/>
          <w:color w:val="231F20"/>
        </w:rPr>
      </w:pPr>
    </w:p>
    <w:p>
      <w:pPr>
        <w:ind w:left="960" w:hanging="329"/>
        <w:spacing w:after="0"/>
        <w:tabs>
          <w:tab w:leader="none" w:pos="9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our ability to continue to identify and acquire high-quality acreage and drilling opportunities; and</w:t>
      </w:r>
    </w:p>
    <w:p>
      <w:pPr>
        <w:spacing w:after="0" w:line="225" w:lineRule="exact"/>
        <w:rPr>
          <w:rFonts w:ascii="Times New Roman" w:cs="Times New Roman" w:eastAsia="Times New Roman" w:hAnsi="Times New Roman"/>
          <w:sz w:val="18"/>
          <w:szCs w:val="18"/>
          <w:color w:val="231F20"/>
        </w:rPr>
      </w:pPr>
    </w:p>
    <w:p>
      <w:pPr>
        <w:ind w:left="960" w:hanging="329"/>
        <w:spacing w:after="0"/>
        <w:tabs>
          <w:tab w:leader="none" w:pos="960" w:val="left"/>
        </w:tabs>
        <w:numPr>
          <w:ilvl w:val="0"/>
          <w:numId w:val="18"/>
        </w:numPr>
        <w:rPr>
          <w:rFonts w:ascii="Times New Roman" w:cs="Times New Roman" w:eastAsia="Times New Roman" w:hAnsi="Times New Roman"/>
          <w:sz w:val="18"/>
          <w:szCs w:val="18"/>
          <w:color w:val="231F20"/>
        </w:rPr>
      </w:pPr>
      <w:r>
        <w:rPr>
          <w:rFonts w:ascii="Times New Roman" w:cs="Times New Roman" w:eastAsia="Times New Roman" w:hAnsi="Times New Roman"/>
          <w:sz w:val="18"/>
          <w:szCs w:val="18"/>
          <w:color w:val="231F20"/>
        </w:rPr>
        <w:t>the level of our operating expenses.</w:t>
      </w:r>
    </w:p>
    <w:p>
      <w:pPr>
        <w:spacing w:after="0" w:line="225"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In addition to the factors that affect companies in our industry generally, the location of substantially all of our acreage in the Eagle Ford, Permian, Bakken, Haynesville and Denver-Julesburg Basins subjects our operating results to factors specific to these regions. These factors include the potential adverse impact of weather on drilling, production and transportation activities, particularly during the winter and spring months, as well as infrastructure limitations, transportation capacity, regulatory matters and other factors that may specifically affect one or more of these regions.</w:t>
      </w:r>
    </w:p>
    <w:p>
      <w:pPr>
        <w:spacing w:after="0" w:line="183" w:lineRule="exact"/>
        <w:rPr>
          <w:sz w:val="20"/>
          <w:szCs w:val="20"/>
          <w:color w:val="auto"/>
        </w:rPr>
      </w:pPr>
    </w:p>
    <w:p>
      <w:pPr>
        <w:jc w:val="both"/>
        <w:ind w:left="60" w:right="79"/>
        <w:spacing w:after="0" w:line="282" w:lineRule="auto"/>
        <w:rPr>
          <w:sz w:val="20"/>
          <w:szCs w:val="20"/>
          <w:color w:val="auto"/>
        </w:rPr>
      </w:pPr>
      <w:r>
        <w:rPr>
          <w:rFonts w:ascii="Times New Roman" w:cs="Times New Roman" w:eastAsia="Times New Roman" w:hAnsi="Times New Roman"/>
          <w:sz w:val="18"/>
          <w:szCs w:val="18"/>
          <w:color w:val="auto"/>
        </w:rPr>
        <w:t>The price of oil and natural gas can vary depending on the market in which it is sold and the means of transportation used to transport the oil and natural gas to market.</w:t>
      </w:r>
    </w:p>
    <w:p>
      <w:pPr>
        <w:spacing w:after="0" w:line="162"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The price at which our oil and natural gas production are sold typically reflects either a premium or discount to the NYMEX benchmark price. Thus, our operating results are also affected by changes in the oil and natural gas price differentials between the applicable benchmark and the sales prices we receive for our oil and natural gas production. Our oil price</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7" w:name="page28"/>
    <w:bookmarkEnd w:id="2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9" w:lineRule="auto"/>
        <w:rPr>
          <w:sz w:val="20"/>
          <w:szCs w:val="20"/>
          <w:color w:val="auto"/>
        </w:rPr>
      </w:pPr>
      <w:r>
        <w:rPr>
          <w:rFonts w:ascii="Times New Roman" w:cs="Times New Roman" w:eastAsia="Times New Roman" w:hAnsi="Times New Roman"/>
          <w:sz w:val="18"/>
          <w:szCs w:val="18"/>
          <w:color w:val="auto"/>
        </w:rPr>
        <w:t>differential to the NYMEX benchmark price during the three and nine months ended September 30, 2022 was $</w:t>
      </w:r>
      <w:r>
        <w:rPr>
          <w:rFonts w:ascii="Times New Roman" w:cs="Times New Roman" w:eastAsia="Times New Roman" w:hAnsi="Times New Roman"/>
          <w:sz w:val="16"/>
          <w:szCs w:val="16"/>
          <w:color w:val="auto"/>
        </w:rPr>
        <w:t>(2.23)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6"/>
          <w:szCs w:val="16"/>
          <w:color w:val="auto"/>
        </w:rPr>
        <w:t>(1.52)</w:t>
      </w:r>
      <w:r>
        <w:rPr>
          <w:rFonts w:ascii="Times New Roman" w:cs="Times New Roman" w:eastAsia="Times New Roman" w:hAnsi="Times New Roman"/>
          <w:sz w:val="18"/>
          <w:szCs w:val="18"/>
          <w:color w:val="auto"/>
        </w:rPr>
        <w:t xml:space="preserve"> per barrel, respectively, as compared to $</w:t>
      </w:r>
      <w:r>
        <w:rPr>
          <w:rFonts w:ascii="Times New Roman" w:cs="Times New Roman" w:eastAsia="Times New Roman" w:hAnsi="Times New Roman"/>
          <w:sz w:val="16"/>
          <w:szCs w:val="16"/>
          <w:color w:val="auto"/>
        </w:rPr>
        <w:t>(1.52) and $(5.14)</w:t>
      </w:r>
      <w:r>
        <w:rPr>
          <w:rFonts w:ascii="Times New Roman" w:cs="Times New Roman" w:eastAsia="Times New Roman" w:hAnsi="Times New Roman"/>
          <w:sz w:val="18"/>
          <w:szCs w:val="18"/>
          <w:color w:val="auto"/>
        </w:rPr>
        <w:t xml:space="preserve"> per barrel in the three and nine months ended September 30, 2021, respectively. Our natural gas price differential during the three and nine months ended September 30, 2022 was $</w:t>
      </w:r>
      <w:r>
        <w:rPr>
          <w:rFonts w:ascii="Times New Roman" w:cs="Times New Roman" w:eastAsia="Times New Roman" w:hAnsi="Times New Roman"/>
          <w:sz w:val="16"/>
          <w:szCs w:val="16"/>
          <w:color w:val="auto"/>
        </w:rPr>
        <w:t>3.24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6"/>
          <w:szCs w:val="16"/>
          <w:color w:val="auto"/>
        </w:rPr>
        <w:t>3.33</w:t>
      </w:r>
      <w:r>
        <w:rPr>
          <w:rFonts w:ascii="Times New Roman" w:cs="Times New Roman" w:eastAsia="Times New Roman" w:hAnsi="Times New Roman"/>
          <w:sz w:val="18"/>
          <w:szCs w:val="18"/>
          <w:color w:val="auto"/>
        </w:rPr>
        <w:t xml:space="preserve"> per Mcf, as compared to $</w:t>
      </w:r>
      <w:r>
        <w:rPr>
          <w:rFonts w:ascii="Times New Roman" w:cs="Times New Roman" w:eastAsia="Times New Roman" w:hAnsi="Times New Roman"/>
          <w:sz w:val="16"/>
          <w:szCs w:val="16"/>
          <w:color w:val="auto"/>
        </w:rPr>
        <w:t>2.15 and $2.43</w:t>
      </w:r>
      <w:r>
        <w:rPr>
          <w:rFonts w:ascii="Times New Roman" w:cs="Times New Roman" w:eastAsia="Times New Roman" w:hAnsi="Times New Roman"/>
          <w:sz w:val="18"/>
          <w:szCs w:val="18"/>
          <w:color w:val="auto"/>
        </w:rPr>
        <w:t xml:space="preserve"> per Mcf in the three and nine months ended September 30, 2021.</w:t>
      </w:r>
    </w:p>
    <w:p>
      <w:pPr>
        <w:spacing w:after="0" w:line="39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Market Conditions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The price that we receive for the oil and natural gas we produce is largely a function of market supply and demand. Because our oil and natural gas revenues are heavily weighted toward oil, we are more significantly impacted by changes in oil prices than by changes in the price of natural gas. World-wide supply in terms of output, especially production from properties within the United States, the production quota set by OPEC, and the strength of the U.S. dollar can adversely impact oil prices. Historically, commodity prices have been volatile and we expect the volatility to continue in the future. Factors impacting the future oil supply balance are world-wide demand for oil, as well as the growth in domestic oil production.</w:t>
      </w:r>
    </w:p>
    <w:p>
      <w:pPr>
        <w:spacing w:after="0" w:line="18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Prices for various quantities of natural gas and oil that we produce significantly impact our revenues and cash flows. The following table lists average NYMEX prices for oil and natural gas for the three and nine months ended September 30, 2022 and 2021.</w:t>
      </w:r>
    </w:p>
    <w:p>
      <w:pPr>
        <w:spacing w:after="0" w:line="183"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4360" w:type="dxa"/>
            <w:vAlign w:val="bottom"/>
          </w:tcPr>
          <w:p>
            <w:pPr>
              <w:spacing w:after="0"/>
              <w:rPr>
                <w:sz w:val="15"/>
                <w:szCs w:val="15"/>
                <w:color w:val="auto"/>
              </w:rPr>
            </w:pPr>
          </w:p>
        </w:tc>
        <w:tc>
          <w:tcPr>
            <w:tcW w:w="2380" w:type="dxa"/>
            <w:vAlign w:val="bottom"/>
            <w:gridSpan w:val="6"/>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16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436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top w:val="single" w:sz="8" w:color="auto"/>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4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ind w:right="276"/>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60" w:type="dxa"/>
            <w:vAlign w:val="bottom"/>
            <w:tcBorders>
              <w:top w:val="single" w:sz="8" w:color="auto"/>
              <w:bottom w:val="single" w:sz="8" w:color="CCEEFF"/>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760" w:type="dxa"/>
            <w:vAlign w:val="bottom"/>
            <w:tcBorders>
              <w:top w:val="single" w:sz="8" w:color="auto"/>
              <w:bottom w:val="single" w:sz="8" w:color="auto"/>
            </w:tcBorders>
          </w:tcPr>
          <w:p>
            <w:pPr>
              <w:jc w:val="right"/>
              <w:ind w:right="25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4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NYMEX Prices (1)</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r>
      <w:tr>
        <w:trPr>
          <w:trHeight w:val="216"/>
        </w:trPr>
        <w:tc>
          <w:tcPr>
            <w:tcW w:w="436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Oil (per Bbl)</w:t>
            </w: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93.18</w:t>
            </w:r>
          </w:p>
        </w:tc>
        <w:tc>
          <w:tcPr>
            <w:tcW w:w="200" w:type="dxa"/>
            <w:vAlign w:val="bottom"/>
          </w:tcPr>
          <w:p>
            <w:pPr>
              <w:spacing w:after="0"/>
              <w:rPr>
                <w:sz w:val="18"/>
                <w:szCs w:val="18"/>
                <w:color w:val="auto"/>
              </w:rPr>
            </w:pPr>
          </w:p>
        </w:tc>
        <w:tc>
          <w:tcPr>
            <w:tcW w:w="220" w:type="dxa"/>
            <w:vAlign w:val="bottom"/>
          </w:tcPr>
          <w:p>
            <w:pPr>
              <w:jc w:val="right"/>
              <w:ind w:right="5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70.51</w:t>
            </w:r>
          </w:p>
        </w:tc>
        <w:tc>
          <w:tcPr>
            <w:tcW w:w="140" w:type="dxa"/>
            <w:vAlign w:val="bottom"/>
          </w:tcPr>
          <w:p>
            <w:pPr>
              <w:spacing w:after="0"/>
              <w:rPr>
                <w:sz w:val="18"/>
                <w:szCs w:val="18"/>
                <w:color w:val="auto"/>
              </w:rPr>
            </w:pPr>
          </w:p>
        </w:tc>
        <w:tc>
          <w:tcPr>
            <w:tcW w:w="2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98.24</w:t>
            </w:r>
          </w:p>
        </w:tc>
        <w:tc>
          <w:tcPr>
            <w:tcW w:w="16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64.99</w:t>
            </w:r>
          </w:p>
        </w:tc>
      </w:tr>
      <w:tr>
        <w:trPr>
          <w:trHeight w:val="216"/>
        </w:trPr>
        <w:tc>
          <w:tcPr>
            <w:tcW w:w="43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Natural gas (per Mcf)</w:t>
            </w: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6.70</w:t>
            </w: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3.35</w:t>
            </w:r>
          </w:p>
        </w:tc>
      </w:tr>
    </w:tbl>
    <w:p>
      <w:pPr>
        <w:spacing w:after="0" w:line="19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(1) Based on average NYMEX closing and spot prices.</w:t>
      </w:r>
    </w:p>
    <w:p>
      <w:pPr>
        <w:spacing w:after="0" w:line="225"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231F20"/>
        </w:rPr>
        <w:t>For the three months ended September 30, 2022, the average NYMEX oil pricing was $</w:t>
      </w:r>
      <w:r>
        <w:rPr>
          <w:rFonts w:ascii="Times New Roman" w:cs="Times New Roman" w:eastAsia="Times New Roman" w:hAnsi="Times New Roman"/>
          <w:sz w:val="18"/>
          <w:szCs w:val="18"/>
          <w:color w:val="000000"/>
        </w:rPr>
        <w:t>93.18</w:t>
      </w:r>
      <w:r>
        <w:rPr>
          <w:rFonts w:ascii="Times New Roman" w:cs="Times New Roman" w:eastAsia="Times New Roman" w:hAnsi="Times New Roman"/>
          <w:sz w:val="18"/>
          <w:szCs w:val="18"/>
          <w:color w:val="231F20"/>
        </w:rPr>
        <w:t xml:space="preserve"> per barrel of oil or </w:t>
      </w:r>
      <w:r>
        <w:rPr>
          <w:rFonts w:ascii="Times New Roman" w:cs="Times New Roman" w:eastAsia="Times New Roman" w:hAnsi="Times New Roman"/>
          <w:sz w:val="18"/>
          <w:szCs w:val="18"/>
          <w:color w:val="000000"/>
        </w:rPr>
        <w:t>32%</w:t>
      </w:r>
      <w:r>
        <w:rPr>
          <w:rFonts w:ascii="Times New Roman" w:cs="Times New Roman" w:eastAsia="Times New Roman" w:hAnsi="Times New Roman"/>
          <w:sz w:val="18"/>
          <w:szCs w:val="18"/>
          <w:color w:val="231F20"/>
        </w:rPr>
        <w:t xml:space="preserve"> higher than the average NYMEX price per barrel for the three months ended September 30, 2021. Our settled derivatives decreased our realized oil price per barrel by $</w:t>
      </w:r>
      <w:r>
        <w:rPr>
          <w:rFonts w:ascii="Times New Roman" w:cs="Times New Roman" w:eastAsia="Times New Roman" w:hAnsi="Times New Roman"/>
          <w:sz w:val="18"/>
          <w:szCs w:val="18"/>
          <w:color w:val="000000"/>
        </w:rPr>
        <w:t>7.34</w:t>
      </w:r>
      <w:r>
        <w:rPr>
          <w:rFonts w:ascii="Times New Roman" w:cs="Times New Roman" w:eastAsia="Times New Roman" w:hAnsi="Times New Roman"/>
          <w:sz w:val="18"/>
          <w:szCs w:val="18"/>
          <w:color w:val="231F20"/>
        </w:rPr>
        <w:t xml:space="preserve"> in the three months ended September 30, 2022 and $</w:t>
      </w:r>
      <w:r>
        <w:rPr>
          <w:rFonts w:ascii="Times New Roman" w:cs="Times New Roman" w:eastAsia="Times New Roman" w:hAnsi="Times New Roman"/>
          <w:sz w:val="18"/>
          <w:szCs w:val="18"/>
          <w:color w:val="000000"/>
        </w:rPr>
        <w:t>3.97 in the three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months ended September 31, </w:t>
      </w:r>
      <w:r>
        <w:rPr>
          <w:rFonts w:ascii="Times New Roman" w:cs="Times New Roman" w:eastAsia="Times New Roman" w:hAnsi="Times New Roman"/>
          <w:sz w:val="18"/>
          <w:szCs w:val="18"/>
          <w:color w:val="231F20"/>
        </w:rPr>
        <w:t>2021. For the three months ended September 30, 2022, our average realized oil price per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barrel after reflecting settled derivatives was $</w:t>
      </w:r>
      <w:r>
        <w:rPr>
          <w:rFonts w:ascii="Times New Roman" w:cs="Times New Roman" w:eastAsia="Times New Roman" w:hAnsi="Times New Roman"/>
          <w:sz w:val="18"/>
          <w:szCs w:val="18"/>
          <w:color w:val="000000"/>
        </w:rPr>
        <w:t>83.61</w:t>
      </w:r>
      <w:r>
        <w:rPr>
          <w:rFonts w:ascii="Times New Roman" w:cs="Times New Roman" w:eastAsia="Times New Roman" w:hAnsi="Times New Roman"/>
          <w:sz w:val="18"/>
          <w:szCs w:val="18"/>
          <w:color w:val="231F20"/>
        </w:rPr>
        <w:t xml:space="preserve"> compared to $</w:t>
      </w:r>
      <w:r>
        <w:rPr>
          <w:rFonts w:ascii="Times New Roman" w:cs="Times New Roman" w:eastAsia="Times New Roman" w:hAnsi="Times New Roman"/>
          <w:sz w:val="18"/>
          <w:szCs w:val="18"/>
          <w:color w:val="000000"/>
        </w:rPr>
        <w:t>65.02</w:t>
      </w:r>
      <w:r>
        <w:rPr>
          <w:rFonts w:ascii="Times New Roman" w:cs="Times New Roman" w:eastAsia="Times New Roman" w:hAnsi="Times New Roman"/>
          <w:sz w:val="18"/>
          <w:szCs w:val="18"/>
          <w:color w:val="231F20"/>
        </w:rPr>
        <w:t xml:space="preserve"> for the three months ended September 30, 2021. The average NYMEX natural gas pricing for the three months ended September 30, 2022 was $</w:t>
      </w:r>
      <w:r>
        <w:rPr>
          <w:rFonts w:ascii="Times New Roman" w:cs="Times New Roman" w:eastAsia="Times New Roman" w:hAnsi="Times New Roman"/>
          <w:sz w:val="18"/>
          <w:szCs w:val="18"/>
          <w:color w:val="000000"/>
        </w:rPr>
        <w:t>7.95</w:t>
      </w:r>
      <w:r>
        <w:rPr>
          <w:rFonts w:ascii="Times New Roman" w:cs="Times New Roman" w:eastAsia="Times New Roman" w:hAnsi="Times New Roman"/>
          <w:sz w:val="18"/>
          <w:szCs w:val="18"/>
          <w:color w:val="231F20"/>
        </w:rPr>
        <w:t xml:space="preserve"> per Mcf, or </w:t>
      </w:r>
      <w:r>
        <w:rPr>
          <w:rFonts w:ascii="Times New Roman" w:cs="Times New Roman" w:eastAsia="Times New Roman" w:hAnsi="Times New Roman"/>
          <w:sz w:val="18"/>
          <w:szCs w:val="18"/>
          <w:color w:val="000000"/>
        </w:rPr>
        <w:t>84</w:t>
      </w:r>
      <w:r>
        <w:rPr>
          <w:rFonts w:ascii="Times New Roman" w:cs="Times New Roman" w:eastAsia="Times New Roman" w:hAnsi="Times New Roman"/>
          <w:sz w:val="18"/>
          <w:szCs w:val="18"/>
          <w:color w:val="231F20"/>
        </w:rPr>
        <w:t>% higher than the average NYMEX price per Mcf for the three months ended September 30, 2021. Our settled derivatives decreased our realized natural gas price per Mcf by $</w:t>
      </w:r>
      <w:r>
        <w:rPr>
          <w:rFonts w:ascii="Times New Roman" w:cs="Times New Roman" w:eastAsia="Times New Roman" w:hAnsi="Times New Roman"/>
          <w:sz w:val="18"/>
          <w:szCs w:val="18"/>
          <w:color w:val="000000"/>
        </w:rPr>
        <w:t>1.71</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0.69</w:t>
      </w:r>
      <w:r>
        <w:rPr>
          <w:rFonts w:ascii="Times New Roman" w:cs="Times New Roman" w:eastAsia="Times New Roman" w:hAnsi="Times New Roman"/>
          <w:sz w:val="18"/>
          <w:szCs w:val="18"/>
          <w:color w:val="231F20"/>
        </w:rPr>
        <w:t xml:space="preserve"> in the three months ended September 30, 2022 and 2021, respectively. For the three months ended September 30, 2022, our realized gas price per Mcf was $</w:t>
      </w:r>
      <w:r>
        <w:rPr>
          <w:rFonts w:ascii="Times New Roman" w:cs="Times New Roman" w:eastAsia="Times New Roman" w:hAnsi="Times New Roman"/>
          <w:sz w:val="18"/>
          <w:szCs w:val="18"/>
          <w:color w:val="000000"/>
        </w:rPr>
        <w:t>9.48</w:t>
      </w:r>
      <w:r>
        <w:rPr>
          <w:rFonts w:ascii="Times New Roman" w:cs="Times New Roman" w:eastAsia="Times New Roman" w:hAnsi="Times New Roman"/>
          <w:sz w:val="18"/>
          <w:szCs w:val="18"/>
          <w:color w:val="231F20"/>
        </w:rPr>
        <w:t xml:space="preserve"> compared to $</w:t>
      </w:r>
      <w:r>
        <w:rPr>
          <w:rFonts w:ascii="Times New Roman" w:cs="Times New Roman" w:eastAsia="Times New Roman" w:hAnsi="Times New Roman"/>
          <w:sz w:val="18"/>
          <w:szCs w:val="18"/>
          <w:color w:val="000000"/>
        </w:rPr>
        <w:t>5.78</w:t>
      </w:r>
      <w:r>
        <w:rPr>
          <w:rFonts w:ascii="Times New Roman" w:cs="Times New Roman" w:eastAsia="Times New Roman" w:hAnsi="Times New Roman"/>
          <w:sz w:val="18"/>
          <w:szCs w:val="18"/>
          <w:color w:val="231F20"/>
        </w:rPr>
        <w:t xml:space="preserve"> for the three months ended September 30, 2021, which was primarily driven by higher NYMEX pricing for natural gas and gas realizations</w:t>
      </w:r>
      <w:r>
        <w:rPr>
          <w:rFonts w:ascii="Times New Roman" w:cs="Times New Roman" w:eastAsia="Times New Roman" w:hAnsi="Times New Roman"/>
          <w:sz w:val="18"/>
          <w:szCs w:val="18"/>
          <w:color w:val="000000"/>
        </w:rPr>
        <w:t>.</w:t>
      </w:r>
    </w:p>
    <w:p>
      <w:pPr>
        <w:spacing w:after="0" w:line="192"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231F20"/>
        </w:rPr>
        <w:t>For the nine months ended September 30, 2022, the average NYMEX oil pricing was $</w:t>
      </w:r>
      <w:r>
        <w:rPr>
          <w:rFonts w:ascii="Times New Roman" w:cs="Times New Roman" w:eastAsia="Times New Roman" w:hAnsi="Times New Roman"/>
          <w:sz w:val="18"/>
          <w:szCs w:val="18"/>
          <w:color w:val="000000"/>
        </w:rPr>
        <w:t>98.24</w:t>
      </w:r>
      <w:r>
        <w:rPr>
          <w:rFonts w:ascii="Times New Roman" w:cs="Times New Roman" w:eastAsia="Times New Roman" w:hAnsi="Times New Roman"/>
          <w:sz w:val="18"/>
          <w:szCs w:val="18"/>
          <w:color w:val="231F20"/>
        </w:rPr>
        <w:t xml:space="preserve"> per barrel of oil or </w:t>
      </w:r>
      <w:r>
        <w:rPr>
          <w:rFonts w:ascii="Times New Roman" w:cs="Times New Roman" w:eastAsia="Times New Roman" w:hAnsi="Times New Roman"/>
          <w:sz w:val="18"/>
          <w:szCs w:val="18"/>
          <w:color w:val="000000"/>
        </w:rPr>
        <w:t>51%</w:t>
      </w:r>
      <w:r>
        <w:rPr>
          <w:rFonts w:ascii="Times New Roman" w:cs="Times New Roman" w:eastAsia="Times New Roman" w:hAnsi="Times New Roman"/>
          <w:sz w:val="18"/>
          <w:szCs w:val="18"/>
          <w:color w:val="231F20"/>
        </w:rPr>
        <w:t xml:space="preserve"> higher than the average NYMEX price per barrel for the nine months ended September 30, 2021. Our settled derivatives decreased our realized oil price per barrel by $</w:t>
      </w:r>
      <w:r>
        <w:rPr>
          <w:rFonts w:ascii="Times New Roman" w:cs="Times New Roman" w:eastAsia="Times New Roman" w:hAnsi="Times New Roman"/>
          <w:sz w:val="18"/>
          <w:szCs w:val="18"/>
          <w:color w:val="000000"/>
        </w:rPr>
        <w:t>7.54</w:t>
      </w:r>
      <w:r>
        <w:rPr>
          <w:rFonts w:ascii="Times New Roman" w:cs="Times New Roman" w:eastAsia="Times New Roman" w:hAnsi="Times New Roman"/>
          <w:sz w:val="18"/>
          <w:szCs w:val="18"/>
          <w:color w:val="231F20"/>
        </w:rPr>
        <w:t xml:space="preserve"> in the nine months ended September 30, 2022 and by $</w:t>
      </w:r>
      <w:r>
        <w:rPr>
          <w:rFonts w:ascii="Times New Roman" w:cs="Times New Roman" w:eastAsia="Times New Roman" w:hAnsi="Times New Roman"/>
          <w:sz w:val="18"/>
          <w:szCs w:val="18"/>
          <w:color w:val="000000"/>
        </w:rPr>
        <w:t>1.48 in the nine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months ended September 31, </w:t>
      </w:r>
      <w:r>
        <w:rPr>
          <w:rFonts w:ascii="Times New Roman" w:cs="Times New Roman" w:eastAsia="Times New Roman" w:hAnsi="Times New Roman"/>
          <w:sz w:val="18"/>
          <w:szCs w:val="18"/>
          <w:color w:val="231F20"/>
        </w:rPr>
        <w:t>2021. For the nine months ended September 30, 2022, our average realized oil price per</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barrel after reflecting settled derivatives was $</w:t>
      </w:r>
      <w:r>
        <w:rPr>
          <w:rFonts w:ascii="Times New Roman" w:cs="Times New Roman" w:eastAsia="Times New Roman" w:hAnsi="Times New Roman"/>
          <w:sz w:val="18"/>
          <w:szCs w:val="18"/>
          <w:color w:val="000000"/>
        </w:rPr>
        <w:t>89.18</w:t>
      </w:r>
      <w:r>
        <w:rPr>
          <w:rFonts w:ascii="Times New Roman" w:cs="Times New Roman" w:eastAsia="Times New Roman" w:hAnsi="Times New Roman"/>
          <w:sz w:val="18"/>
          <w:szCs w:val="18"/>
          <w:color w:val="231F20"/>
        </w:rPr>
        <w:t xml:space="preserve"> compared to $</w:t>
      </w:r>
      <w:r>
        <w:rPr>
          <w:rFonts w:ascii="Times New Roman" w:cs="Times New Roman" w:eastAsia="Times New Roman" w:hAnsi="Times New Roman"/>
          <w:sz w:val="18"/>
          <w:szCs w:val="18"/>
          <w:color w:val="000000"/>
        </w:rPr>
        <w:t>58.37</w:t>
      </w:r>
      <w:r>
        <w:rPr>
          <w:rFonts w:ascii="Times New Roman" w:cs="Times New Roman" w:eastAsia="Times New Roman" w:hAnsi="Times New Roman"/>
          <w:sz w:val="18"/>
          <w:szCs w:val="18"/>
          <w:color w:val="231F20"/>
        </w:rPr>
        <w:t xml:space="preserve"> for the nine months ended September 30, 2021. The average NYMEX natural gas pricing for the nine months ended September 30, 2022 was $</w:t>
      </w:r>
      <w:r>
        <w:rPr>
          <w:rFonts w:ascii="Times New Roman" w:cs="Times New Roman" w:eastAsia="Times New Roman" w:hAnsi="Times New Roman"/>
          <w:sz w:val="18"/>
          <w:szCs w:val="18"/>
          <w:color w:val="000000"/>
        </w:rPr>
        <w:t>6.70</w:t>
      </w:r>
      <w:r>
        <w:rPr>
          <w:rFonts w:ascii="Times New Roman" w:cs="Times New Roman" w:eastAsia="Times New Roman" w:hAnsi="Times New Roman"/>
          <w:sz w:val="18"/>
          <w:szCs w:val="18"/>
          <w:color w:val="231F20"/>
        </w:rPr>
        <w:t xml:space="preserve"> per Mcf, or </w:t>
      </w:r>
      <w:r>
        <w:rPr>
          <w:rFonts w:ascii="Times New Roman" w:cs="Times New Roman" w:eastAsia="Times New Roman" w:hAnsi="Times New Roman"/>
          <w:sz w:val="18"/>
          <w:szCs w:val="18"/>
          <w:color w:val="000000"/>
        </w:rPr>
        <w:t>100</w:t>
      </w:r>
      <w:r>
        <w:rPr>
          <w:rFonts w:ascii="Times New Roman" w:cs="Times New Roman" w:eastAsia="Times New Roman" w:hAnsi="Times New Roman"/>
          <w:sz w:val="18"/>
          <w:szCs w:val="18"/>
          <w:color w:val="231F20"/>
        </w:rPr>
        <w:t>% higher than the average NYMEX price per Mcf for the nine months ended September 30, 2021. Our settled derivatives decreased our realized natural gas price per Mcf by $</w:t>
      </w:r>
      <w:r>
        <w:rPr>
          <w:rFonts w:ascii="Times New Roman" w:cs="Times New Roman" w:eastAsia="Times New Roman" w:hAnsi="Times New Roman"/>
          <w:sz w:val="18"/>
          <w:szCs w:val="18"/>
          <w:color w:val="000000"/>
        </w:rPr>
        <w:t>1.42</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0.69</w:t>
      </w:r>
      <w:r>
        <w:rPr>
          <w:rFonts w:ascii="Times New Roman" w:cs="Times New Roman" w:eastAsia="Times New Roman" w:hAnsi="Times New Roman"/>
          <w:sz w:val="18"/>
          <w:szCs w:val="18"/>
          <w:color w:val="231F20"/>
        </w:rPr>
        <w:t xml:space="preserve"> in the nine months ended September 30, 2022 and 2021, respectively. For the nine months ended September 30, 2022, our realized gas price per Mcf was $</w:t>
      </w:r>
      <w:r>
        <w:rPr>
          <w:rFonts w:ascii="Times New Roman" w:cs="Times New Roman" w:eastAsia="Times New Roman" w:hAnsi="Times New Roman"/>
          <w:sz w:val="18"/>
          <w:szCs w:val="18"/>
          <w:color w:val="000000"/>
        </w:rPr>
        <w:t>8.61</w:t>
      </w:r>
      <w:r>
        <w:rPr>
          <w:rFonts w:ascii="Times New Roman" w:cs="Times New Roman" w:eastAsia="Times New Roman" w:hAnsi="Times New Roman"/>
          <w:sz w:val="18"/>
          <w:szCs w:val="18"/>
          <w:color w:val="231F20"/>
        </w:rPr>
        <w:t xml:space="preserve"> compared to $</w:t>
      </w:r>
      <w:r>
        <w:rPr>
          <w:rFonts w:ascii="Times New Roman" w:cs="Times New Roman" w:eastAsia="Times New Roman" w:hAnsi="Times New Roman"/>
          <w:sz w:val="18"/>
          <w:szCs w:val="18"/>
          <w:color w:val="000000"/>
        </w:rPr>
        <w:t>5.09</w:t>
      </w:r>
      <w:r>
        <w:rPr>
          <w:rFonts w:ascii="Times New Roman" w:cs="Times New Roman" w:eastAsia="Times New Roman" w:hAnsi="Times New Roman"/>
          <w:sz w:val="18"/>
          <w:szCs w:val="18"/>
          <w:color w:val="231F20"/>
        </w:rPr>
        <w:t xml:space="preserve"> for the nine months ended September 30, 2021, which was primarily driven by higher NYMEX pricing for natural gas and gas realizations</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8" w:name="page29"/>
    <w:bookmarkEnd w:id="2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Results of Operations — Fund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September 30, 2022 compared to three months ended September 30, 2021</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operating data for the periods indicated. Average sales prices are derived from accrued accounting data for the relevant period indicated.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9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 (in thousands):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Oil sales</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61,607</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40,376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Natural gas and related product sales</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28,587</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15,341</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90,194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Sales Prices: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Oil (per Bbl)</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90.95</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Effect of gain (loss) on settled oil derivatives on average price (per Bbl)</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(7.34)</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Oil net of settled oil derivatives (per Bbl)</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83.61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Natural gas and related product sales (per Mcf)</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Effect of gain (loss) on settled natural gas derivatives on average price (per Mcf)</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Natural gas and related product sales net of settled natural gas derivatives (per Mcf)</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Realized price on a Boe basis excluding settled commodity derivatives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81.75</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Effect of gain (loss) on settled commodity derivatives on average price (per Boe)</w:t>
            </w:r>
          </w:p>
        </w:tc>
        <w:tc>
          <w:tcPr>
            <w:tcW w:w="2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2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Realized price on a Boe basis including settled commodity derivatives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73.29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52.78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 (in thousands):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 operating expenses</w:t>
            </w:r>
          </w:p>
        </w:tc>
        <w:tc>
          <w:tcPr>
            <w:tcW w:w="48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6,368</w:t>
            </w:r>
          </w:p>
        </w:tc>
        <w:tc>
          <w:tcPr>
            <w:tcW w:w="4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Production taxes</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Depletion and accretion expense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39,868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1,776</w:t>
            </w:r>
          </w:p>
        </w:tc>
        <w:tc>
          <w:tcPr>
            <w:tcW w:w="2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53,065</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 (per Boe):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Lease operating expenses</w:t>
            </w:r>
          </w:p>
        </w:tc>
        <w:tc>
          <w:tcPr>
            <w:tcW w:w="480" w:type="dxa"/>
            <w:vAlign w:val="bottom"/>
            <w:gridSpan w:val="2"/>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4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Production taxes</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Depletion and accretion</w:t>
            </w: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Producing Wells at Period-End</w:t>
            </w: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Oil, Natural Gas and Related Product Sales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 xml:space="preserve">Our revenues vary from year to year primarily as a result of changes in realized commodity prices and production volumes. For the three months ended September 30, 2022, our oil and natural gas sales increased 62% from the three months ended September 30, 2021, </w:t>
      </w:r>
      <w:r>
        <w:rPr>
          <w:rFonts w:ascii="Times New Roman" w:cs="Times New Roman" w:eastAsia="Times New Roman" w:hAnsi="Times New Roman"/>
          <w:sz w:val="18"/>
          <w:szCs w:val="18"/>
          <w:color w:val="231F20"/>
        </w:rPr>
        <w:t>driven by a</w:t>
      </w:r>
      <w:r>
        <w:rPr>
          <w:rFonts w:ascii="Times New Roman" w:cs="Times New Roman" w:eastAsia="Times New Roman" w:hAnsi="Times New Roman"/>
          <w:sz w:val="18"/>
          <w:szCs w:val="18"/>
          <w:color w:val="auto"/>
        </w:rPr>
        <w:t xml:space="preserve"> 13</w:t>
      </w:r>
      <w:r>
        <w:rPr>
          <w:rFonts w:ascii="Times New Roman" w:cs="Times New Roman" w:eastAsia="Times New Roman" w:hAnsi="Times New Roman"/>
          <w:sz w:val="18"/>
          <w:szCs w:val="18"/>
          <w:color w:val="231F20"/>
        </w:rPr>
        <w:t>% increase in production volumes and a 44</w:t>
      </w:r>
      <w:r>
        <w:rPr>
          <w:rFonts w:ascii="Times New Roman" w:cs="Times New Roman" w:eastAsia="Times New Roman" w:hAnsi="Times New Roman"/>
          <w:sz w:val="18"/>
          <w:szCs w:val="18"/>
          <w:color w:val="auto"/>
        </w:rPr>
        <w:t>% increase in realized prices, excluding the effect of settled commodity derivatives. The higher average price in the three months ended September 30, 2022 as compared to the three months ended September 30, 2021 was driven by higher average NYMEX oil and natural gas prices.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29" w:name="page30"/>
    <w:bookmarkEnd w:id="2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Realized production from oil and natural gas properties increases through drilling success and the acquisition of additional net revenue interests. Increases in production are offset by the natural decline of the production rate of existing oil and natural gas wells.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Production for the three months ended September 30, 2022 and 2021 is set forth in the following table: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r>
      <w:tr>
        <w:trPr>
          <w:trHeight w:val="142"/>
        </w:trPr>
        <w:tc>
          <w:tcPr>
            <w:tcW w:w="2240" w:type="dxa"/>
            <w:vAlign w:val="bottom"/>
            <w:tcBorders>
              <w:bottom w:val="single" w:sz="8" w:color="CCEEFF"/>
            </w:tcBorders>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1020" w:type="dxa"/>
            <w:vAlign w:val="bottom"/>
            <w:tcBorders>
              <w:bottom w:val="single" w:sz="8" w:color="auto"/>
            </w:tcBorders>
          </w:tcPr>
          <w:p>
            <w:pPr>
              <w:jc w:val="right"/>
              <w:ind w:right="27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1000" w:type="dxa"/>
            <w:vAlign w:val="bottom"/>
            <w:tcBorders>
              <w:bottom w:val="single" w:sz="8" w:color="auto"/>
            </w:tcBorders>
          </w:tcPr>
          <w:p>
            <w:pPr>
              <w:jc w:val="right"/>
              <w:ind w:right="27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09"/>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Oil (MBbl)</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2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585</w:t>
            </w:r>
          </w:p>
        </w:tc>
      </w:tr>
      <w:tr>
        <w:trPr>
          <w:trHeight w:val="216"/>
        </w:trPr>
        <w:tc>
          <w:tcPr>
            <w:tcW w:w="6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Natural gas (MMcf)</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2,556</w:t>
            </w:r>
          </w:p>
        </w:tc>
        <w:tc>
          <w:tcPr>
            <w:tcW w:w="220" w:type="dxa"/>
            <w:vAlign w:val="bottom"/>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2,372</w:t>
            </w:r>
          </w:p>
        </w:tc>
      </w:tr>
      <w:tr>
        <w:trPr>
          <w:trHeight w:val="249"/>
        </w:trPr>
        <w:tc>
          <w:tcPr>
            <w:tcW w:w="6660" w:type="dxa"/>
            <w:vAlign w:val="bottom"/>
            <w:tcBorders>
              <w:bottom w:val="single" w:sz="8" w:color="CCEEFF"/>
            </w:tcBorders>
            <w:gridSpan w:val="2"/>
          </w:tcPr>
          <w:p>
            <w:pPr>
              <w:ind w:left="220"/>
              <w:spacing w:after="0" w:line="210" w:lineRule="exact"/>
              <w:rPr>
                <w:sz w:val="20"/>
                <w:szCs w:val="20"/>
                <w:color w:val="auto"/>
              </w:rPr>
            </w:pPr>
            <w:r>
              <w:rPr>
                <w:rFonts w:ascii="Times New Roman" w:cs="Times New Roman" w:eastAsia="Times New Roman" w:hAnsi="Times New Roman"/>
                <w:sz w:val="17"/>
                <w:szCs w:val="17"/>
                <w:color w:val="auto"/>
              </w:rPr>
              <w:t>Total (MBoe)</w:t>
            </w:r>
            <w:r>
              <w:rPr>
                <w:rFonts w:ascii="Times New Roman" w:cs="Times New Roman" w:eastAsia="Times New Roman" w:hAnsi="Times New Roman"/>
                <w:sz w:val="24"/>
                <w:szCs w:val="24"/>
                <w:color w:val="auto"/>
                <w:vertAlign w:val="superscript"/>
              </w:rPr>
              <w:t>(1)</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1,103</w:t>
            </w:r>
          </w:p>
        </w:tc>
        <w:tc>
          <w:tcPr>
            <w:tcW w:w="220" w:type="dxa"/>
            <w:vAlign w:val="bottom"/>
            <w:tcBorders>
              <w:bottom w:val="single" w:sz="8" w:color="CCEEFF"/>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981</w:t>
            </w:r>
          </w:p>
        </w:tc>
      </w:tr>
      <w:tr>
        <w:trPr>
          <w:trHeight w:val="197"/>
        </w:trPr>
        <w:tc>
          <w:tcPr>
            <w:tcW w:w="2240" w:type="dxa"/>
            <w:vAlign w:val="bottom"/>
            <w:shd w:val="clear" w:color="auto" w:fill="CCEEFF"/>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Production:</w:t>
            </w: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6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Oil (Bbl)</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7,526</w:t>
            </w:r>
          </w:p>
        </w:tc>
        <w:tc>
          <w:tcPr>
            <w:tcW w:w="2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6,503</w:t>
            </w:r>
          </w:p>
        </w:tc>
      </w:tr>
      <w:tr>
        <w:trPr>
          <w:trHeight w:val="216"/>
        </w:trPr>
        <w:tc>
          <w:tcPr>
            <w:tcW w:w="66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Natural gas (Mcf)</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28,398</w:t>
            </w:r>
          </w:p>
        </w:tc>
        <w:tc>
          <w:tcPr>
            <w:tcW w:w="22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26,354</w:t>
            </w:r>
          </w:p>
        </w:tc>
      </w:tr>
      <w:tr>
        <w:trPr>
          <w:trHeight w:val="210"/>
        </w:trPr>
        <w:tc>
          <w:tcPr>
            <w:tcW w:w="6660" w:type="dxa"/>
            <w:vAlign w:val="bottom"/>
            <w:tcBorders>
              <w:bottom w:val="single" w:sz="8" w:color="CCEEFF"/>
            </w:tcBorders>
            <w:gridSpan w:val="2"/>
            <w:shd w:val="clear" w:color="auto" w:fill="CCEEFF"/>
          </w:tcPr>
          <w:p>
            <w:pPr>
              <w:ind w:left="220"/>
              <w:spacing w:after="0" w:line="210" w:lineRule="exact"/>
              <w:rPr>
                <w:sz w:val="20"/>
                <w:szCs w:val="20"/>
                <w:color w:val="auto"/>
              </w:rPr>
            </w:pPr>
            <w:r>
              <w:rPr>
                <w:rFonts w:ascii="Times New Roman" w:cs="Times New Roman" w:eastAsia="Times New Roman" w:hAnsi="Times New Roman"/>
                <w:sz w:val="17"/>
                <w:szCs w:val="17"/>
                <w:color w:val="auto"/>
              </w:rPr>
              <w:t>Total (Boe)</w:t>
            </w:r>
            <w:r>
              <w:rPr>
                <w:rFonts w:ascii="Times New Roman" w:cs="Times New Roman" w:eastAsia="Times New Roman" w:hAnsi="Times New Roman"/>
                <w:sz w:val="24"/>
                <w:szCs w:val="24"/>
                <w:color w:val="auto"/>
                <w:vertAlign w:val="superscript"/>
              </w:rPr>
              <w:t>(1)</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12,259</w:t>
            </w:r>
          </w:p>
        </w:tc>
        <w:tc>
          <w:tcPr>
            <w:tcW w:w="22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10,895</w:t>
            </w:r>
          </w:p>
        </w:tc>
      </w:tr>
      <w:tr>
        <w:trPr>
          <w:trHeight w:val="20"/>
        </w:trPr>
        <w:tc>
          <w:tcPr>
            <w:tcW w:w="22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102"/>
        </w:trPr>
        <w:tc>
          <w:tcPr>
            <w:tcW w:w="224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0" w:type="dxa"/>
            <w:vAlign w:val="bottom"/>
          </w:tcPr>
          <w:p>
            <w:pPr>
              <w:spacing w:after="0"/>
              <w:rPr>
                <w:sz w:val="8"/>
                <w:szCs w:val="8"/>
                <w:color w:val="auto"/>
              </w:rPr>
            </w:pPr>
          </w:p>
        </w:tc>
      </w:tr>
    </w:tbl>
    <w:p>
      <w:pPr>
        <w:spacing w:after="0" w:line="76" w:lineRule="exact"/>
        <w:rPr>
          <w:sz w:val="20"/>
          <w:szCs w:val="20"/>
          <w:color w:val="auto"/>
        </w:rPr>
      </w:pPr>
    </w:p>
    <w:p>
      <w:pPr>
        <w:ind w:left="380" w:right="379" w:hanging="330"/>
        <w:spacing w:after="0" w:line="312" w:lineRule="auto"/>
        <w:tabs>
          <w:tab w:leader="none" w:pos="38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gas is converted to Boe at the rate of one barrel equals six Mcf based upon the approximate relative energy content of oil and natural gas, which is not necessarily indicative of the relationship of oil and natural gas prices.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 Operating Expenses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231F20"/>
        </w:rPr>
        <w:t>Lease operating expenses were approximately $</w:t>
      </w:r>
      <w:r>
        <w:rPr>
          <w:rFonts w:ascii="Times New Roman" w:cs="Times New Roman" w:eastAsia="Times New Roman" w:hAnsi="Times New Roman"/>
          <w:sz w:val="18"/>
          <w:szCs w:val="18"/>
          <w:color w:val="000000"/>
        </w:rPr>
        <w:t>6,368</w:t>
      </w:r>
      <w:r>
        <w:rPr>
          <w:rFonts w:ascii="Times New Roman" w:cs="Times New Roman" w:eastAsia="Times New Roman" w:hAnsi="Times New Roman"/>
          <w:sz w:val="18"/>
          <w:szCs w:val="18"/>
          <w:color w:val="231F20"/>
        </w:rPr>
        <w:t xml:space="preserve"> thousand and $</w:t>
      </w:r>
      <w:r>
        <w:rPr>
          <w:rFonts w:ascii="Times New Roman" w:cs="Times New Roman" w:eastAsia="Times New Roman" w:hAnsi="Times New Roman"/>
          <w:sz w:val="18"/>
          <w:szCs w:val="18"/>
          <w:color w:val="000000"/>
        </w:rPr>
        <w:t>3,621 thousand</w:t>
      </w:r>
      <w:r>
        <w:rPr>
          <w:rFonts w:ascii="Times New Roman" w:cs="Times New Roman" w:eastAsia="Times New Roman" w:hAnsi="Times New Roman"/>
          <w:sz w:val="18"/>
          <w:szCs w:val="18"/>
          <w:color w:val="231F20"/>
        </w:rPr>
        <w:t xml:space="preserve"> for the three months ended September 30, 2022 and 2021, respectively. On a per unit basis, production expenses increased </w:t>
      </w:r>
      <w:r>
        <w:rPr>
          <w:rFonts w:ascii="Times New Roman" w:cs="Times New Roman" w:eastAsia="Times New Roman" w:hAnsi="Times New Roman"/>
          <w:sz w:val="18"/>
          <w:szCs w:val="18"/>
          <w:color w:val="000000"/>
        </w:rPr>
        <w:t>56</w:t>
      </w:r>
      <w:r>
        <w:rPr>
          <w:rFonts w:ascii="Times New Roman" w:cs="Times New Roman" w:eastAsia="Times New Roman" w:hAnsi="Times New Roman"/>
          <w:sz w:val="18"/>
          <w:szCs w:val="18"/>
          <w:color w:val="231F20"/>
        </w:rPr>
        <w:t xml:space="preserve">% from </w:t>
      </w:r>
      <w:r>
        <w:rPr>
          <w:rFonts w:ascii="Times New Roman" w:cs="Times New Roman" w:eastAsia="Times New Roman" w:hAnsi="Times New Roman"/>
          <w:sz w:val="18"/>
          <w:szCs w:val="18"/>
          <w:color w:val="000000"/>
        </w:rPr>
        <w:t>$3.69</w:t>
      </w:r>
      <w:r>
        <w:rPr>
          <w:rFonts w:ascii="Times New Roman" w:cs="Times New Roman" w:eastAsia="Times New Roman" w:hAnsi="Times New Roman"/>
          <w:sz w:val="18"/>
          <w:szCs w:val="18"/>
          <w:color w:val="231F20"/>
        </w:rPr>
        <w:t xml:space="preserve"> per Boe for the three months ended September 30, 2021 to </w:t>
      </w:r>
      <w:r>
        <w:rPr>
          <w:rFonts w:ascii="Times New Roman" w:cs="Times New Roman" w:eastAsia="Times New Roman" w:hAnsi="Times New Roman"/>
          <w:sz w:val="18"/>
          <w:szCs w:val="18"/>
          <w:color w:val="000000"/>
        </w:rPr>
        <w:t>$5.77</w:t>
      </w:r>
      <w:r>
        <w:rPr>
          <w:rFonts w:ascii="Times New Roman" w:cs="Times New Roman" w:eastAsia="Times New Roman" w:hAnsi="Times New Roman"/>
          <w:sz w:val="18"/>
          <w:szCs w:val="18"/>
          <w:color w:val="231F20"/>
        </w:rPr>
        <w:t xml:space="preserve"> per Boe for the three months ended September 30, 2022, due primarily to gas processing fees in the Permian Basin and an increase in commodity prices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On an absolute dollar basis, the </w:t>
      </w:r>
      <w:r>
        <w:rPr>
          <w:rFonts w:ascii="Times New Roman" w:cs="Times New Roman" w:eastAsia="Times New Roman" w:hAnsi="Times New Roman"/>
          <w:sz w:val="18"/>
          <w:szCs w:val="18"/>
          <w:color w:val="000000"/>
        </w:rPr>
        <w:t>76</w:t>
      </w:r>
      <w:r>
        <w:rPr>
          <w:rFonts w:ascii="Times New Roman" w:cs="Times New Roman" w:eastAsia="Times New Roman" w:hAnsi="Times New Roman"/>
          <w:sz w:val="18"/>
          <w:szCs w:val="18"/>
          <w:color w:val="231F20"/>
        </w:rPr>
        <w:t xml:space="preserve">% increase in our production related expenses for the three months ended September 30, 2022, compared to the three months ended September 30, 2021 was primarily due to a </w:t>
      </w:r>
      <w:r>
        <w:rPr>
          <w:rFonts w:ascii="Times New Roman" w:cs="Times New Roman" w:eastAsia="Times New Roman" w:hAnsi="Times New Roman"/>
          <w:sz w:val="18"/>
          <w:szCs w:val="18"/>
          <w:color w:val="000000"/>
        </w:rPr>
        <w:t>56</w:t>
      </w:r>
      <w:r>
        <w:rPr>
          <w:rFonts w:ascii="Times New Roman" w:cs="Times New Roman" w:eastAsia="Times New Roman" w:hAnsi="Times New Roman"/>
          <w:sz w:val="18"/>
          <w:szCs w:val="18"/>
          <w:color w:val="231F20"/>
        </w:rPr>
        <w:t xml:space="preserve">% increase in per unit costs and a </w:t>
      </w:r>
      <w:r>
        <w:rPr>
          <w:rFonts w:ascii="Times New Roman" w:cs="Times New Roman" w:eastAsia="Times New Roman" w:hAnsi="Times New Roman"/>
          <w:sz w:val="18"/>
          <w:szCs w:val="18"/>
          <w:color w:val="000000"/>
        </w:rPr>
        <w:t>13</w:t>
      </w:r>
      <w:r>
        <w:rPr>
          <w:rFonts w:ascii="Times New Roman" w:cs="Times New Roman" w:eastAsia="Times New Roman" w:hAnsi="Times New Roman"/>
          <w:sz w:val="18"/>
          <w:szCs w:val="18"/>
          <w:color w:val="231F20"/>
        </w:rPr>
        <w:t>% increase in production</w:t>
      </w:r>
      <w:r>
        <w:rPr>
          <w:rFonts w:ascii="Times New Roman" w:cs="Times New Roman" w:eastAsia="Times New Roman" w:hAnsi="Times New Roman"/>
          <w:sz w:val="18"/>
          <w:szCs w:val="18"/>
          <w:color w:val="000000"/>
        </w:rPr>
        <w: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Production Taxes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231F20"/>
        </w:rPr>
        <w:t>We pay production taxes based on realized oil and natural gas sales. Production taxes were $</w:t>
      </w:r>
      <w:r>
        <w:rPr>
          <w:rFonts w:ascii="Times New Roman" w:cs="Times New Roman" w:eastAsia="Times New Roman" w:hAnsi="Times New Roman"/>
          <w:sz w:val="18"/>
          <w:szCs w:val="18"/>
          <w:color w:val="000000"/>
        </w:rPr>
        <w:t>5,053</w:t>
      </w:r>
      <w:r>
        <w:rPr>
          <w:rFonts w:ascii="Times New Roman" w:cs="Times New Roman" w:eastAsia="Times New Roman" w:hAnsi="Times New Roman"/>
          <w:sz w:val="18"/>
          <w:szCs w:val="18"/>
          <w:color w:val="231F20"/>
        </w:rPr>
        <w:t xml:space="preserve"> thousand for the three months ended September 30, 2022, compared to $</w:t>
      </w:r>
      <w:r>
        <w:rPr>
          <w:rFonts w:ascii="Times New Roman" w:cs="Times New Roman" w:eastAsia="Times New Roman" w:hAnsi="Times New Roman"/>
          <w:sz w:val="18"/>
          <w:szCs w:val="18"/>
          <w:color w:val="000000"/>
        </w:rPr>
        <w:t>2,506</w:t>
      </w:r>
      <w:r>
        <w:rPr>
          <w:rFonts w:ascii="Times New Roman" w:cs="Times New Roman" w:eastAsia="Times New Roman" w:hAnsi="Times New Roman"/>
          <w:sz w:val="18"/>
          <w:szCs w:val="18"/>
          <w:color w:val="231F20"/>
        </w:rPr>
        <w:t xml:space="preserve"> thousand for the three months ended September 30, 2021. As a percentage of oil and natural gas sales, our production taxes were </w:t>
      </w:r>
      <w:r>
        <w:rPr>
          <w:rFonts w:ascii="Times New Roman" w:cs="Times New Roman" w:eastAsia="Times New Roman" w:hAnsi="Times New Roman"/>
          <w:sz w:val="18"/>
          <w:szCs w:val="18"/>
          <w:color w:val="000000"/>
        </w:rPr>
        <w:t>6</w:t>
      </w:r>
      <w:r>
        <w:rPr>
          <w:rFonts w:ascii="Times New Roman" w:cs="Times New Roman" w:eastAsia="Times New Roman" w:hAnsi="Times New Roman"/>
          <w:sz w:val="18"/>
          <w:szCs w:val="18"/>
          <w:color w:val="231F20"/>
        </w:rPr>
        <w:t xml:space="preserve">% and </w:t>
      </w:r>
      <w:r>
        <w:rPr>
          <w:rFonts w:ascii="Times New Roman" w:cs="Times New Roman" w:eastAsia="Times New Roman" w:hAnsi="Times New Roman"/>
          <w:sz w:val="18"/>
          <w:szCs w:val="18"/>
          <w:color w:val="000000"/>
        </w:rPr>
        <w:t>4% for the</w:t>
      </w:r>
      <w:r>
        <w:rPr>
          <w:rFonts w:ascii="Times New Roman" w:cs="Times New Roman" w:eastAsia="Times New Roman" w:hAnsi="Times New Roman"/>
          <w:sz w:val="18"/>
          <w:szCs w:val="18"/>
          <w:color w:val="231F20"/>
        </w:rPr>
        <w:t xml:space="preserve"> three months ended September 30, 2022 and 2021, respectively. Production taxes as a percent of total oil and natural gas sales are consistent with historical trend</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Depletion and Accretion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231F20"/>
        </w:rPr>
        <w:t>Depletion and accretion was approximately $</w:t>
      </w:r>
      <w:r>
        <w:rPr>
          <w:rFonts w:ascii="Times New Roman" w:cs="Times New Roman" w:eastAsia="Times New Roman" w:hAnsi="Times New Roman"/>
          <w:sz w:val="18"/>
          <w:szCs w:val="18"/>
          <w:color w:val="000000"/>
        </w:rPr>
        <w:t>39,868</w:t>
      </w:r>
      <w:r>
        <w:rPr>
          <w:rFonts w:ascii="Times New Roman" w:cs="Times New Roman" w:eastAsia="Times New Roman" w:hAnsi="Times New Roman"/>
          <w:sz w:val="18"/>
          <w:szCs w:val="18"/>
          <w:color w:val="231F20"/>
        </w:rPr>
        <w:t xml:space="preserve"> thousand for the three months ended September 30, 2022, compared to $</w:t>
      </w:r>
      <w:r>
        <w:rPr>
          <w:rFonts w:ascii="Times New Roman" w:cs="Times New Roman" w:eastAsia="Times New Roman" w:hAnsi="Times New Roman"/>
          <w:sz w:val="18"/>
          <w:szCs w:val="18"/>
          <w:color w:val="000000"/>
        </w:rPr>
        <w:t>15,794</w:t>
      </w:r>
      <w:r>
        <w:rPr>
          <w:rFonts w:ascii="Times New Roman" w:cs="Times New Roman" w:eastAsia="Times New Roman" w:hAnsi="Times New Roman"/>
          <w:sz w:val="18"/>
          <w:szCs w:val="18"/>
          <w:color w:val="231F20"/>
        </w:rPr>
        <w:t xml:space="preserve"> thousand for the three months ended September 30, 2021. Depletion and accretion was $</w:t>
      </w:r>
      <w:r>
        <w:rPr>
          <w:rFonts w:ascii="Times New Roman" w:cs="Times New Roman" w:eastAsia="Times New Roman" w:hAnsi="Times New Roman"/>
          <w:sz w:val="18"/>
          <w:szCs w:val="18"/>
          <w:color w:val="000000"/>
        </w:rPr>
        <w:t>36.13</w:t>
      </w:r>
      <w:r>
        <w:rPr>
          <w:rFonts w:ascii="Times New Roman" w:cs="Times New Roman" w:eastAsia="Times New Roman" w:hAnsi="Times New Roman"/>
          <w:sz w:val="18"/>
          <w:szCs w:val="18"/>
          <w:color w:val="231F20"/>
        </w:rPr>
        <w:t xml:space="preserve"> per Boe for the three months ended September 30, 2022 compared to $</w:t>
      </w:r>
      <w:r>
        <w:rPr>
          <w:rFonts w:ascii="Times New Roman" w:cs="Times New Roman" w:eastAsia="Times New Roman" w:hAnsi="Times New Roman"/>
          <w:sz w:val="18"/>
          <w:szCs w:val="18"/>
          <w:color w:val="000000"/>
        </w:rPr>
        <w:t>16.11</w:t>
      </w:r>
      <w:r>
        <w:rPr>
          <w:rFonts w:ascii="Times New Roman" w:cs="Times New Roman" w:eastAsia="Times New Roman" w:hAnsi="Times New Roman"/>
          <w:sz w:val="18"/>
          <w:szCs w:val="18"/>
          <w:color w:val="231F20"/>
        </w:rPr>
        <w:t xml:space="preserve"> per Boe for the three months ended September 30, 2021. Aggregate depletion and accretion expense increased for the three months ended September 30, 2022 compared to the three months ended September 30, 2021, which is consistent with the increase in production levels. The aggregate increase in depletion and accretion expense for the three months ended September 30, 2022 compared to the three months ended September 30, 2021 was driven by the </w:t>
      </w:r>
      <w:r>
        <w:rPr>
          <w:rFonts w:ascii="Times New Roman" w:cs="Times New Roman" w:eastAsia="Times New Roman" w:hAnsi="Times New Roman"/>
          <w:sz w:val="18"/>
          <w:szCs w:val="18"/>
          <w:color w:val="000000"/>
        </w:rPr>
        <w:t>124</w:t>
      </w:r>
      <w:r>
        <w:rPr>
          <w:rFonts w:ascii="Times New Roman" w:cs="Times New Roman" w:eastAsia="Times New Roman" w:hAnsi="Times New Roman"/>
          <w:sz w:val="18"/>
          <w:szCs w:val="18"/>
          <w:color w:val="231F20"/>
        </w:rPr>
        <w:t xml:space="preserve">% increase in the depletion and accretion rate per Boe and a </w:t>
      </w:r>
      <w:r>
        <w:rPr>
          <w:rFonts w:ascii="Times New Roman" w:cs="Times New Roman" w:eastAsia="Times New Roman" w:hAnsi="Times New Roman"/>
          <w:sz w:val="18"/>
          <w:szCs w:val="18"/>
          <w:color w:val="000000"/>
        </w:rPr>
        <w:t>13</w:t>
      </w:r>
      <w:r>
        <w:rPr>
          <w:rFonts w:ascii="Times New Roman" w:cs="Times New Roman" w:eastAsia="Times New Roman" w:hAnsi="Times New Roman"/>
          <w:sz w:val="18"/>
          <w:szCs w:val="18"/>
          <w:color w:val="231F20"/>
        </w:rPr>
        <w:t>% increase in production levels, respectively</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0" w:name="page31"/>
    <w:bookmarkEnd w:id="30"/>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231F20"/>
        </w:rPr>
        <w:t>General and administrative expenses were approximately $</w:t>
      </w:r>
      <w:r>
        <w:rPr>
          <w:rFonts w:ascii="Times New Roman" w:cs="Times New Roman" w:eastAsia="Times New Roman" w:hAnsi="Times New Roman"/>
          <w:sz w:val="18"/>
          <w:szCs w:val="18"/>
          <w:color w:val="000000"/>
        </w:rPr>
        <w:t>1,776</w:t>
      </w:r>
      <w:r>
        <w:rPr>
          <w:rFonts w:ascii="Times New Roman" w:cs="Times New Roman" w:eastAsia="Times New Roman" w:hAnsi="Times New Roman"/>
          <w:sz w:val="18"/>
          <w:szCs w:val="18"/>
          <w:color w:val="231F20"/>
        </w:rPr>
        <w:t xml:space="preserve"> thousand for the three months ended September 30, 2022, compared to $</w:t>
      </w:r>
      <w:r>
        <w:rPr>
          <w:rFonts w:ascii="Times New Roman" w:cs="Times New Roman" w:eastAsia="Times New Roman" w:hAnsi="Times New Roman"/>
          <w:sz w:val="18"/>
          <w:szCs w:val="18"/>
          <w:color w:val="000000"/>
        </w:rPr>
        <w:t>1,764</w:t>
      </w:r>
      <w:r>
        <w:rPr>
          <w:rFonts w:ascii="Times New Roman" w:cs="Times New Roman" w:eastAsia="Times New Roman" w:hAnsi="Times New Roman"/>
          <w:sz w:val="18"/>
          <w:szCs w:val="18"/>
          <w:color w:val="231F20"/>
        </w:rPr>
        <w:t xml:space="preserve"> thousand </w:t>
      </w:r>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231F20"/>
        </w:rPr>
        <w:t xml:space="preserve"> the three months ended September 30, 2021, respectively. General and administrative fees remained materially consistent period over period. General and administrative fees include management fees which were approximately $919 thousand and $969 thousand for the three months ended September 30, 2022 and 2021, respectively. Management fees also remained materially consistent period over period.</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Gain/(Loss) on Derivative Contracts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231F20"/>
        </w:rPr>
        <w:t>We enter into commodity derivatives instruments to manage the price risk attributable to future oil and natural gas production. We recorded a gain on derivative contracts of approximately $</w:t>
      </w:r>
      <w:r>
        <w:rPr>
          <w:rFonts w:ascii="Times New Roman" w:cs="Times New Roman" w:eastAsia="Times New Roman" w:hAnsi="Times New Roman"/>
          <w:sz w:val="18"/>
          <w:szCs w:val="18"/>
          <w:color w:val="000000"/>
        </w:rPr>
        <w:t>6,082</w:t>
      </w:r>
      <w:r>
        <w:rPr>
          <w:rFonts w:ascii="Times New Roman" w:cs="Times New Roman" w:eastAsia="Times New Roman" w:hAnsi="Times New Roman"/>
          <w:sz w:val="18"/>
          <w:szCs w:val="18"/>
          <w:color w:val="231F20"/>
        </w:rPr>
        <w:t xml:space="preserve"> thousand during the three months ended September 30, 2022, compared to a loss of $</w:t>
      </w:r>
      <w:r>
        <w:rPr>
          <w:rFonts w:ascii="Times New Roman" w:cs="Times New Roman" w:eastAsia="Times New Roman" w:hAnsi="Times New Roman"/>
          <w:sz w:val="18"/>
          <w:szCs w:val="18"/>
          <w:color w:val="000000"/>
        </w:rPr>
        <w:t>6,558</w:t>
      </w:r>
      <w:r>
        <w:rPr>
          <w:rFonts w:ascii="Times New Roman" w:cs="Times New Roman" w:eastAsia="Times New Roman" w:hAnsi="Times New Roman"/>
          <w:sz w:val="18"/>
          <w:szCs w:val="18"/>
          <w:color w:val="231F20"/>
        </w:rPr>
        <w:t xml:space="preserve"> thousand during the three months ended September 30, 2021. Commodity price volatility during the three months ended September 30, 2022 resulted in realized losses of $</w:t>
      </w:r>
      <w:r>
        <w:rPr>
          <w:rFonts w:ascii="Times New Roman" w:cs="Times New Roman" w:eastAsia="Times New Roman" w:hAnsi="Times New Roman"/>
          <w:sz w:val="18"/>
          <w:szCs w:val="18"/>
          <w:color w:val="000000"/>
        </w:rPr>
        <w:t>9,331</w:t>
      </w:r>
      <w:r>
        <w:rPr>
          <w:rFonts w:ascii="Times New Roman" w:cs="Times New Roman" w:eastAsia="Times New Roman" w:hAnsi="Times New Roman"/>
          <w:sz w:val="18"/>
          <w:szCs w:val="18"/>
          <w:color w:val="231F20"/>
        </w:rPr>
        <w:t xml:space="preserve"> thousand in the three months ended September 30, 2022 compared to $</w:t>
      </w:r>
      <w:r>
        <w:rPr>
          <w:rFonts w:ascii="Times New Roman" w:cs="Times New Roman" w:eastAsia="Times New Roman" w:hAnsi="Times New Roman"/>
          <w:sz w:val="18"/>
          <w:szCs w:val="18"/>
          <w:color w:val="000000"/>
        </w:rPr>
        <w:t>3,959</w:t>
      </w:r>
      <w:r>
        <w:rPr>
          <w:rFonts w:ascii="Times New Roman" w:cs="Times New Roman" w:eastAsia="Times New Roman" w:hAnsi="Times New Roman"/>
          <w:sz w:val="18"/>
          <w:szCs w:val="18"/>
          <w:color w:val="231F20"/>
        </w:rPr>
        <w:t xml:space="preserve"> thousand in the three months ended September 30, 2021. For the three months ended September 30, 2022, unrealized gains were $</w:t>
      </w:r>
      <w:r>
        <w:rPr>
          <w:rFonts w:ascii="Times New Roman" w:cs="Times New Roman" w:eastAsia="Times New Roman" w:hAnsi="Times New Roman"/>
          <w:sz w:val="18"/>
          <w:szCs w:val="18"/>
          <w:color w:val="000000"/>
        </w:rPr>
        <w:t>15,413</w:t>
      </w:r>
      <w:r>
        <w:rPr>
          <w:rFonts w:ascii="Times New Roman" w:cs="Times New Roman" w:eastAsia="Times New Roman" w:hAnsi="Times New Roman"/>
          <w:sz w:val="18"/>
          <w:szCs w:val="18"/>
          <w:color w:val="231F20"/>
        </w:rPr>
        <w:t xml:space="preserve"> thousand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compared to unrealized losses of $</w:t>
      </w:r>
      <w:r>
        <w:rPr>
          <w:rFonts w:ascii="Times New Roman" w:cs="Times New Roman" w:eastAsia="Times New Roman" w:hAnsi="Times New Roman"/>
          <w:sz w:val="18"/>
          <w:szCs w:val="18"/>
          <w:color w:val="000000"/>
        </w:rPr>
        <w:t>2,599</w:t>
      </w:r>
      <w:r>
        <w:rPr>
          <w:rFonts w:ascii="Times New Roman" w:cs="Times New Roman" w:eastAsia="Times New Roman" w:hAnsi="Times New Roman"/>
          <w:sz w:val="18"/>
          <w:szCs w:val="18"/>
          <w:color w:val="231F20"/>
        </w:rPr>
        <w:t xml:space="preserve"> thousand in the three months ended September 30, 2021. Our average three months ended September 30, 2022 realized oil price per barrel after reflecting settled derivatives was $</w:t>
      </w:r>
      <w:r>
        <w:rPr>
          <w:rFonts w:ascii="Times New Roman" w:cs="Times New Roman" w:eastAsia="Times New Roman" w:hAnsi="Times New Roman"/>
          <w:sz w:val="18"/>
          <w:szCs w:val="18"/>
          <w:color w:val="000000"/>
        </w:rPr>
        <w:t>83.61,</w:t>
      </w:r>
      <w:r>
        <w:rPr>
          <w:rFonts w:ascii="Times New Roman" w:cs="Times New Roman" w:eastAsia="Times New Roman" w:hAnsi="Times New Roman"/>
          <w:sz w:val="18"/>
          <w:szCs w:val="18"/>
          <w:color w:val="231F20"/>
        </w:rPr>
        <w:t xml:space="preserve"> compared to $</w:t>
      </w:r>
      <w:r>
        <w:rPr>
          <w:rFonts w:ascii="Times New Roman" w:cs="Times New Roman" w:eastAsia="Times New Roman" w:hAnsi="Times New Roman"/>
          <w:sz w:val="18"/>
          <w:szCs w:val="18"/>
          <w:color w:val="000000"/>
        </w:rPr>
        <w:t>65.02</w:t>
      </w:r>
      <w:r>
        <w:rPr>
          <w:rFonts w:ascii="Times New Roman" w:cs="Times New Roman" w:eastAsia="Times New Roman" w:hAnsi="Times New Roman"/>
          <w:sz w:val="18"/>
          <w:szCs w:val="18"/>
          <w:color w:val="231F20"/>
        </w:rPr>
        <w:t xml:space="preserve"> in the three months ended September 30, 2021. Our settled derivatives decreased our realized oil price per barrel by $</w:t>
      </w:r>
      <w:r>
        <w:rPr>
          <w:rFonts w:ascii="Times New Roman" w:cs="Times New Roman" w:eastAsia="Times New Roman" w:hAnsi="Times New Roman"/>
          <w:sz w:val="18"/>
          <w:szCs w:val="18"/>
          <w:color w:val="000000"/>
        </w:rPr>
        <w:t>7.34 in the</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three months ended September 30, 2022, </w:t>
      </w:r>
      <w:r>
        <w:rPr>
          <w:rFonts w:ascii="Times New Roman" w:cs="Times New Roman" w:eastAsia="Times New Roman" w:hAnsi="Times New Roman"/>
          <w:sz w:val="18"/>
          <w:szCs w:val="18"/>
          <w:color w:val="231F20"/>
        </w:rPr>
        <w:t>compared to $</w:t>
      </w:r>
      <w:r>
        <w:rPr>
          <w:rFonts w:ascii="Times New Roman" w:cs="Times New Roman" w:eastAsia="Times New Roman" w:hAnsi="Times New Roman"/>
          <w:sz w:val="18"/>
          <w:szCs w:val="18"/>
          <w:color w:val="000000"/>
        </w:rPr>
        <w:t xml:space="preserve">3.97 </w:t>
      </w:r>
      <w:r>
        <w:rPr>
          <w:rFonts w:ascii="Times New Roman" w:cs="Times New Roman" w:eastAsia="Times New Roman" w:hAnsi="Times New Roman"/>
          <w:sz w:val="18"/>
          <w:szCs w:val="18"/>
          <w:color w:val="231F20"/>
        </w:rPr>
        <w:t>in the three months ended September 30, 2021. Our realized</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natural gas price per Mcf was $</w:t>
      </w:r>
      <w:r>
        <w:rPr>
          <w:rFonts w:ascii="Times New Roman" w:cs="Times New Roman" w:eastAsia="Times New Roman" w:hAnsi="Times New Roman"/>
          <w:sz w:val="18"/>
          <w:szCs w:val="18"/>
          <w:color w:val="000000"/>
        </w:rPr>
        <w:t>9.48</w:t>
      </w:r>
      <w:r>
        <w:rPr>
          <w:rFonts w:ascii="Times New Roman" w:cs="Times New Roman" w:eastAsia="Times New Roman" w:hAnsi="Times New Roman"/>
          <w:sz w:val="18"/>
          <w:szCs w:val="18"/>
          <w:color w:val="231F20"/>
        </w:rPr>
        <w:t xml:space="preserve"> in the three months ended September 30, 2022, compared to $</w:t>
      </w:r>
      <w:r>
        <w:rPr>
          <w:rFonts w:ascii="Times New Roman" w:cs="Times New Roman" w:eastAsia="Times New Roman" w:hAnsi="Times New Roman"/>
          <w:sz w:val="18"/>
          <w:szCs w:val="18"/>
          <w:color w:val="000000"/>
        </w:rPr>
        <w:t>5.78</w:t>
      </w:r>
      <w:r>
        <w:rPr>
          <w:rFonts w:ascii="Times New Roman" w:cs="Times New Roman" w:eastAsia="Times New Roman" w:hAnsi="Times New Roman"/>
          <w:sz w:val="18"/>
          <w:szCs w:val="18"/>
          <w:color w:val="231F20"/>
        </w:rPr>
        <w:t xml:space="preserve"> in the three months ended September 30, 2021. Our settled derivatives decreased our realized natural gas price per Mcf by $</w:t>
      </w:r>
      <w:r>
        <w:rPr>
          <w:rFonts w:ascii="Times New Roman" w:cs="Times New Roman" w:eastAsia="Times New Roman" w:hAnsi="Times New Roman"/>
          <w:sz w:val="18"/>
          <w:szCs w:val="18"/>
          <w:color w:val="000000"/>
        </w:rPr>
        <w:t>1.71</w:t>
      </w:r>
      <w:r>
        <w:rPr>
          <w:rFonts w:ascii="Times New Roman" w:cs="Times New Roman" w:eastAsia="Times New Roman" w:hAnsi="Times New Roman"/>
          <w:sz w:val="18"/>
          <w:szCs w:val="18"/>
          <w:color w:val="231F20"/>
        </w:rPr>
        <w:t xml:space="preserve"> in the three months ended September 30, 2022, and $</w:t>
      </w:r>
      <w:r>
        <w:rPr>
          <w:rFonts w:ascii="Times New Roman" w:cs="Times New Roman" w:eastAsia="Times New Roman" w:hAnsi="Times New Roman"/>
          <w:sz w:val="18"/>
          <w:szCs w:val="18"/>
          <w:color w:val="000000"/>
        </w:rPr>
        <w:t>0.69</w:t>
      </w:r>
      <w:r>
        <w:rPr>
          <w:rFonts w:ascii="Times New Roman" w:cs="Times New Roman" w:eastAsia="Times New Roman" w:hAnsi="Times New Roman"/>
          <w:sz w:val="18"/>
          <w:szCs w:val="18"/>
          <w:color w:val="231F20"/>
        </w:rPr>
        <w:t xml:space="preserve"> in the three months ended September 30, 2021. As of September 30, 2022, we ended the period with a $1,247 thousand net derivative asset compared to a $</w:t>
      </w:r>
      <w:r>
        <w:rPr>
          <w:rFonts w:ascii="Times New Roman" w:cs="Times New Roman" w:eastAsia="Times New Roman" w:hAnsi="Times New Roman"/>
          <w:sz w:val="18"/>
          <w:szCs w:val="18"/>
          <w:color w:val="000000"/>
        </w:rPr>
        <w:t>4,353 thousand</w:t>
      </w:r>
      <w:r>
        <w:rPr>
          <w:rFonts w:ascii="Times New Roman" w:cs="Times New Roman" w:eastAsia="Times New Roman" w:hAnsi="Times New Roman"/>
          <w:sz w:val="18"/>
          <w:szCs w:val="18"/>
          <w:color w:val="231F20"/>
        </w:rPr>
        <w:t xml:space="preserve"> net derivative liability as of December 31, 2021</w:t>
      </w:r>
      <w:r>
        <w:rPr>
          <w:rFonts w:ascii="Times New Roman" w:cs="Times New Roman" w:eastAsia="Times New Roman" w:hAnsi="Times New Roman"/>
          <w:sz w:val="18"/>
          <w:szCs w:val="18"/>
          <w:color w:val="000000"/>
        </w:rPr>
        <w:t>.</w:t>
      </w:r>
    </w:p>
    <w:p>
      <w:pPr>
        <w:spacing w:after="0" w:line="19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231F20"/>
        </w:rPr>
        <w:t>Interest expense was approximately $</w:t>
      </w:r>
      <w:r>
        <w:rPr>
          <w:rFonts w:ascii="Times New Roman" w:cs="Times New Roman" w:eastAsia="Times New Roman" w:hAnsi="Times New Roman"/>
          <w:sz w:val="18"/>
          <w:szCs w:val="18"/>
          <w:color w:val="000000"/>
        </w:rPr>
        <w:t>476</w:t>
      </w:r>
      <w:r>
        <w:rPr>
          <w:rFonts w:ascii="Times New Roman" w:cs="Times New Roman" w:eastAsia="Times New Roman" w:hAnsi="Times New Roman"/>
          <w:sz w:val="18"/>
          <w:szCs w:val="18"/>
          <w:color w:val="231F20"/>
        </w:rPr>
        <w:t xml:space="preserve"> thousand and $353 thousand for the three months ended September 30, 2022 and 2021, respectively. The increase in interest expense for the three months ended September 30, 2022 as compared to the three months ended September 30, 2021 was primarily due </w:t>
      </w:r>
      <w:r>
        <w:rPr>
          <w:rFonts w:ascii="Times New Roman" w:cs="Times New Roman" w:eastAsia="Times New Roman" w:hAnsi="Times New Roman"/>
          <w:sz w:val="18"/>
          <w:szCs w:val="18"/>
          <w:color w:val="000000"/>
        </w:rPr>
        <w:t>to an increase in the weighted average interest rate.</w:t>
      </w:r>
    </w:p>
    <w:p>
      <w:pPr>
        <w:spacing w:after="0" w:line="3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1" w:name="page32"/>
    <w:bookmarkEnd w:id="31"/>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to nine months ended September 30, 2021</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The following table sets forth selected operating data for the periods indicated. Average sales prices are derived from accrued accounting data for the relevant period indicated.</w:t>
      </w:r>
    </w:p>
    <w:p>
      <w:pPr>
        <w:spacing w:after="0" w:line="169" w:lineRule="exact"/>
        <w:rPr>
          <w:sz w:val="20"/>
          <w:szCs w:val="20"/>
          <w:color w:val="auto"/>
        </w:rPr>
      </w:pPr>
    </w:p>
    <w:tbl>
      <w:tblPr>
        <w:tblLayout w:type="fixed"/>
        <w:tblInd w:w="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64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8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7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09"/>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Sales (in thousands):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Oil sales</w:t>
            </w:r>
          </w:p>
        </w:tc>
        <w:tc>
          <w:tcPr>
            <w:tcW w:w="5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197,332</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104,700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Natural gas and related product sales</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65,931</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37,932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Revenues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263,263</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142,632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Average Sales Prices: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Oil (per Bbl)</w:t>
            </w:r>
          </w:p>
        </w:tc>
        <w:tc>
          <w:tcPr>
            <w:tcW w:w="5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96.72</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Effect of gain (loss) on settled oil derivatives on average price (per Bbl)</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(7.54)</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Oil net of settled oil derivatives (per Bbl)</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89.18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Natural gas and related product sales (per Mcf)</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10.03</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Effect of gain (loss) on settled natural gas derivatives on average price (per Mcf)</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(0.69)</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Natural gas and related product sales net of settled natural gas derivatives (per Mcf)</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Realized price on a Boe basis excluding settled commodity derivatives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83.95</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Borders>
              <w:bottom w:val="single" w:sz="8" w:color="CCEEFF"/>
            </w:tcBorders>
          </w:tcPr>
          <w:p>
            <w:pPr>
              <w:ind w:left="80"/>
              <w:spacing w:after="0"/>
              <w:rPr>
                <w:sz w:val="20"/>
                <w:szCs w:val="20"/>
                <w:color w:val="auto"/>
              </w:rPr>
            </w:pPr>
            <w:r>
              <w:rPr>
                <w:rFonts w:ascii="Times New Roman" w:cs="Times New Roman" w:eastAsia="Times New Roman" w:hAnsi="Times New Roman"/>
                <w:sz w:val="18"/>
                <w:szCs w:val="18"/>
                <w:color w:val="auto"/>
              </w:rPr>
              <w:t>Effect of gain (loss) on settled commodity derivatives on average price (per Boe)</w:t>
            </w:r>
          </w:p>
        </w:tc>
        <w:tc>
          <w:tcPr>
            <w:tcW w:w="3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(7.89)</w:t>
            </w:r>
          </w:p>
        </w:tc>
        <w:tc>
          <w:tcPr>
            <w:tcW w:w="2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Realized price on a Boe basis including settled commodity derivatives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76.06</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Expenses (in thousands):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Lease operating expenses</w:t>
            </w:r>
          </w:p>
        </w:tc>
        <w:tc>
          <w:tcPr>
            <w:tcW w:w="500" w:type="dxa"/>
            <w:vAlign w:val="bottom"/>
            <w:gridSpan w:val="2"/>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15,840</w:t>
            </w:r>
          </w:p>
        </w:tc>
        <w:tc>
          <w:tcPr>
            <w:tcW w:w="4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Production taxes</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14,628</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Depletion and accretion expense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70,529</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45,798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4,880</w:t>
            </w:r>
          </w:p>
        </w:tc>
        <w:tc>
          <w:tcPr>
            <w:tcW w:w="2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105,877</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66,920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Costs and Expenses (per Boe):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Lease operating expenses</w:t>
            </w:r>
          </w:p>
        </w:tc>
        <w:tc>
          <w:tcPr>
            <w:tcW w:w="500" w:type="dxa"/>
            <w:vAlign w:val="bottom"/>
            <w:gridSpan w:val="2"/>
            <w:shd w:val="clear" w:color="auto" w:fill="CCEEFF"/>
          </w:tcPr>
          <w:p>
            <w:pPr>
              <w:jc w:val="right"/>
              <w:ind w:right="48"/>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5.05</w:t>
            </w:r>
          </w:p>
        </w:tc>
        <w:tc>
          <w:tcPr>
            <w:tcW w:w="4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Production taxes</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Depletion and accretion</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22.49</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4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vMerge w:val="continue"/>
          </w:tcPr>
          <w:p>
            <w:pPr>
              <w:spacing w:after="0"/>
              <w:rPr>
                <w:sz w:val="20"/>
                <w:szCs w:val="20"/>
                <w:color w:val="auto"/>
              </w:rPr>
            </w:pPr>
          </w:p>
        </w:tc>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Producing Wells at Period-End</w:t>
            </w: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58.33</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42.82</w:t>
            </w:r>
          </w:p>
        </w:tc>
        <w:tc>
          <w:tcPr>
            <w:tcW w:w="0" w:type="dxa"/>
            <w:vAlign w:val="bottom"/>
          </w:tcPr>
          <w:p>
            <w:pPr>
              <w:spacing w:after="0"/>
              <w:rPr>
                <w:sz w:val="1"/>
                <w:szCs w:val="1"/>
                <w:color w:val="auto"/>
              </w:rPr>
            </w:pPr>
          </w:p>
        </w:tc>
      </w:tr>
    </w:tbl>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Oil, Natural Gas and Related Product Sales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231F20"/>
        </w:rPr>
        <w:t xml:space="preserve">Our revenues vary from year to year primarily as a result of changes in realized commodity prices and production volumes. For the nine months ended September 30, 2022, our oil and natural gas sales increased </w:t>
      </w:r>
      <w:r>
        <w:rPr>
          <w:rFonts w:ascii="Times New Roman" w:cs="Times New Roman" w:eastAsia="Times New Roman" w:hAnsi="Times New Roman"/>
          <w:sz w:val="18"/>
          <w:szCs w:val="18"/>
          <w:color w:val="000000"/>
        </w:rPr>
        <w:t>85% from the nine months ended</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September 30, 2021, driven by a 10% increase in production volumes and a 67% increase in realized prices, excluding the effect of settled commodity derivatives. The higher average price in the nine months ended September 30, 2022 as compared to the nine months ended September 30, 2021 was driven by higher average NYMEX oil and natural gas prices.</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2" w:name="page33"/>
    <w:bookmarkEnd w:id="3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2" w:lineRule="auto"/>
        <w:rPr>
          <w:sz w:val="20"/>
          <w:szCs w:val="20"/>
          <w:color w:val="auto"/>
        </w:rPr>
      </w:pPr>
      <w:r>
        <w:rPr>
          <w:rFonts w:ascii="Times New Roman" w:cs="Times New Roman" w:eastAsia="Times New Roman" w:hAnsi="Times New Roman"/>
          <w:sz w:val="18"/>
          <w:szCs w:val="18"/>
          <w:color w:val="231F20"/>
        </w:rPr>
        <w:t xml:space="preserve">Realized production from oil and natural gas properties increases through drilling success and the acquisition of additional net revenue interests. Increases in production are offset by the natural decline of the production rate of existing oil and natural gas wells. During the nine months ended September 30, 2022, the number of wells we participated in increased by </w:t>
      </w:r>
      <w:r>
        <w:rPr>
          <w:rFonts w:ascii="Times New Roman" w:cs="Times New Roman" w:eastAsia="Times New Roman" w:hAnsi="Times New Roman"/>
          <w:sz w:val="16"/>
          <w:szCs w:val="16"/>
          <w:color w:val="000000"/>
        </w:rPr>
        <w:t xml:space="preserve">36% </w:t>
      </w:r>
      <w:r>
        <w:rPr>
          <w:rFonts w:ascii="Times New Roman" w:cs="Times New Roman" w:eastAsia="Times New Roman" w:hAnsi="Times New Roman"/>
          <w:sz w:val="17"/>
          <w:szCs w:val="17"/>
          <w:color w:val="231F20"/>
        </w:rPr>
        <w:t>as compared to the nine months ended September 30, 2021. The new well additions drove the</w:t>
      </w:r>
      <w:r>
        <w:rPr>
          <w:rFonts w:ascii="Times New Roman" w:cs="Times New Roman" w:eastAsia="Times New Roman" w:hAnsi="Times New Roman"/>
          <w:sz w:val="16"/>
          <w:szCs w:val="16"/>
          <w:color w:val="000000"/>
        </w:rPr>
        <w:t xml:space="preserve"> 10% </w:t>
      </w:r>
      <w:r>
        <w:rPr>
          <w:rFonts w:ascii="Times New Roman" w:cs="Times New Roman" w:eastAsia="Times New Roman" w:hAnsi="Times New Roman"/>
          <w:sz w:val="17"/>
          <w:szCs w:val="17"/>
          <w:color w:val="231F20"/>
        </w:rPr>
        <w:t>increase in</w:t>
      </w:r>
      <w:r>
        <w:rPr>
          <w:rFonts w:ascii="Times New Roman" w:cs="Times New Roman" w:eastAsia="Times New Roman" w:hAnsi="Times New Roman"/>
          <w:sz w:val="16"/>
          <w:szCs w:val="16"/>
          <w:color w:val="000000"/>
        </w:rPr>
        <w:t xml:space="preserve"> </w:t>
      </w:r>
      <w:r>
        <w:rPr>
          <w:rFonts w:ascii="Times New Roman" w:cs="Times New Roman" w:eastAsia="Times New Roman" w:hAnsi="Times New Roman"/>
          <w:sz w:val="17"/>
          <w:szCs w:val="17"/>
          <w:color w:val="231F20"/>
        </w:rPr>
        <w:t>production in the first nine months of 2022 as compared to the first nine months of 202</w:t>
      </w:r>
      <w:r>
        <w:rPr>
          <w:rFonts w:ascii="Times New Roman" w:cs="Times New Roman" w:eastAsia="Times New Roman" w:hAnsi="Times New Roman"/>
          <w:sz w:val="17"/>
          <w:szCs w:val="17"/>
          <w:color w:val="000000"/>
        </w:rPr>
        <w:t>1.</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Production for the nine months ended September 30, 2022 and 2021 is set forth in the following table:</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224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r>
      <w:tr>
        <w:trPr>
          <w:trHeight w:val="142"/>
        </w:trPr>
        <w:tc>
          <w:tcPr>
            <w:tcW w:w="2240" w:type="dxa"/>
            <w:vAlign w:val="bottom"/>
            <w:tcBorders>
              <w:bottom w:val="single" w:sz="8" w:color="CCEEFF"/>
            </w:tcBorders>
          </w:tcPr>
          <w:p>
            <w:pPr>
              <w:spacing w:after="0"/>
              <w:rPr>
                <w:sz w:val="12"/>
                <w:szCs w:val="12"/>
                <w:color w:val="auto"/>
              </w:rPr>
            </w:pPr>
          </w:p>
        </w:tc>
        <w:tc>
          <w:tcPr>
            <w:tcW w:w="44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bottom w:val="single" w:sz="8" w:color="CCEEFF"/>
            </w:tcBorders>
          </w:tcPr>
          <w:p>
            <w:pPr>
              <w:spacing w:after="0"/>
              <w:rPr>
                <w:sz w:val="12"/>
                <w:szCs w:val="12"/>
                <w:color w:val="auto"/>
              </w:rPr>
            </w:pPr>
          </w:p>
        </w:tc>
        <w:tc>
          <w:tcPr>
            <w:tcW w:w="980" w:type="dxa"/>
            <w:vAlign w:val="bottom"/>
            <w:tcBorders>
              <w:bottom w:val="single" w:sz="8" w:color="auto"/>
            </w:tcBorders>
          </w:tcPr>
          <w:p>
            <w:pPr>
              <w:jc w:val="right"/>
              <w:ind w:right="253"/>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r>
      <w:tr>
        <w:trPr>
          <w:trHeight w:val="210"/>
        </w:trPr>
        <w:tc>
          <w:tcPr>
            <w:tcW w:w="66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Production:</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r>
      <w:tr>
        <w:trPr>
          <w:trHeight w:val="216"/>
        </w:trPr>
        <w:tc>
          <w:tcPr>
            <w:tcW w:w="66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Oil (MBbl)</w:t>
            </w: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2,040</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1,750</w:t>
            </w:r>
          </w:p>
        </w:tc>
      </w:tr>
      <w:tr>
        <w:trPr>
          <w:trHeight w:val="216"/>
        </w:trPr>
        <w:tc>
          <w:tcPr>
            <w:tcW w:w="6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Natural gas (MMcf)</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6,576</w:t>
            </w:r>
          </w:p>
        </w:tc>
        <w:tc>
          <w:tcPr>
            <w:tcW w:w="220" w:type="dxa"/>
            <w:vAlign w:val="bottom"/>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6,563</w:t>
            </w:r>
          </w:p>
        </w:tc>
      </w:tr>
      <w:tr>
        <w:trPr>
          <w:trHeight w:val="250"/>
        </w:trPr>
        <w:tc>
          <w:tcPr>
            <w:tcW w:w="6660" w:type="dxa"/>
            <w:vAlign w:val="bottom"/>
            <w:tcBorders>
              <w:bottom w:val="single" w:sz="8" w:color="CCEEFF"/>
            </w:tcBorders>
            <w:gridSpan w:val="2"/>
          </w:tcPr>
          <w:p>
            <w:pPr>
              <w:ind w:left="120"/>
              <w:spacing w:after="0" w:line="210" w:lineRule="exact"/>
              <w:rPr>
                <w:sz w:val="20"/>
                <w:szCs w:val="20"/>
                <w:color w:val="auto"/>
              </w:rPr>
            </w:pPr>
            <w:r>
              <w:rPr>
                <w:rFonts w:ascii="Times New Roman" w:cs="Times New Roman" w:eastAsia="Times New Roman" w:hAnsi="Times New Roman"/>
                <w:sz w:val="17"/>
                <w:szCs w:val="17"/>
                <w:color w:val="auto"/>
              </w:rPr>
              <w:t>Total (MBoe)</w:t>
            </w:r>
            <w:r>
              <w:rPr>
                <w:rFonts w:ascii="Times New Roman" w:cs="Times New Roman" w:eastAsia="Times New Roman" w:hAnsi="Times New Roman"/>
                <w:sz w:val="24"/>
                <w:szCs w:val="24"/>
                <w:color w:val="auto"/>
                <w:vertAlign w:val="superscript"/>
              </w:rPr>
              <w:t>(1)</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3,136</w:t>
            </w:r>
          </w:p>
        </w:tc>
        <w:tc>
          <w:tcPr>
            <w:tcW w:w="220" w:type="dxa"/>
            <w:vAlign w:val="bottom"/>
            <w:tcBorders>
              <w:bottom w:val="single" w:sz="8" w:color="CCEEFF"/>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2,843</w:t>
            </w:r>
          </w:p>
        </w:tc>
      </w:tr>
      <w:tr>
        <w:trPr>
          <w:trHeight w:val="196"/>
        </w:trPr>
        <w:tc>
          <w:tcPr>
            <w:tcW w:w="2240" w:type="dxa"/>
            <w:vAlign w:val="bottom"/>
            <w:shd w:val="clear" w:color="auto" w:fill="CCEEFF"/>
          </w:tcPr>
          <w:p>
            <w:pPr>
              <w:spacing w:after="0"/>
              <w:rPr>
                <w:sz w:val="17"/>
                <w:szCs w:val="17"/>
                <w:color w:val="auto"/>
              </w:rPr>
            </w:pPr>
          </w:p>
        </w:tc>
        <w:tc>
          <w:tcPr>
            <w:tcW w:w="44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r>
      <w:tr>
        <w:trPr>
          <w:trHeight w:val="216"/>
        </w:trPr>
        <w:tc>
          <w:tcPr>
            <w:tcW w:w="66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Production:</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16"/>
        </w:trPr>
        <w:tc>
          <w:tcPr>
            <w:tcW w:w="666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Oil (Bbl)</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7,556</w:t>
            </w:r>
          </w:p>
        </w:tc>
        <w:tc>
          <w:tcPr>
            <w:tcW w:w="2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6,480</w:t>
            </w:r>
          </w:p>
        </w:tc>
      </w:tr>
      <w:tr>
        <w:trPr>
          <w:trHeight w:val="216"/>
        </w:trPr>
        <w:tc>
          <w:tcPr>
            <w:tcW w:w="6660" w:type="dxa"/>
            <w:vAlign w:val="bottom"/>
            <w:tcBorders>
              <w:bottom w:val="single" w:sz="8" w:color="CCEEFF"/>
            </w:tcBorders>
            <w:gridSpan w:val="2"/>
          </w:tcPr>
          <w:p>
            <w:pPr>
              <w:ind w:left="120"/>
              <w:spacing w:after="0"/>
              <w:rPr>
                <w:sz w:val="20"/>
                <w:szCs w:val="20"/>
                <w:color w:val="auto"/>
              </w:rPr>
            </w:pPr>
            <w:r>
              <w:rPr>
                <w:rFonts w:ascii="Times New Roman" w:cs="Times New Roman" w:eastAsia="Times New Roman" w:hAnsi="Times New Roman"/>
                <w:sz w:val="18"/>
                <w:szCs w:val="18"/>
                <w:color w:val="auto"/>
              </w:rPr>
              <w:t>Natural gas (Mcf)</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24,354</w:t>
            </w:r>
          </w:p>
        </w:tc>
        <w:tc>
          <w:tcPr>
            <w:tcW w:w="22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24,308</w:t>
            </w:r>
          </w:p>
        </w:tc>
      </w:tr>
      <w:tr>
        <w:trPr>
          <w:trHeight w:val="209"/>
        </w:trPr>
        <w:tc>
          <w:tcPr>
            <w:tcW w:w="6660" w:type="dxa"/>
            <w:vAlign w:val="bottom"/>
            <w:tcBorders>
              <w:bottom w:val="single" w:sz="8" w:color="CCEEFF"/>
            </w:tcBorders>
            <w:gridSpan w:val="2"/>
            <w:shd w:val="clear" w:color="auto" w:fill="CCEEFF"/>
          </w:tcPr>
          <w:p>
            <w:pPr>
              <w:ind w:left="120"/>
              <w:spacing w:after="0" w:line="210" w:lineRule="exact"/>
              <w:rPr>
                <w:sz w:val="20"/>
                <w:szCs w:val="20"/>
                <w:color w:val="auto"/>
              </w:rPr>
            </w:pPr>
            <w:r>
              <w:rPr>
                <w:rFonts w:ascii="Times New Roman" w:cs="Times New Roman" w:eastAsia="Times New Roman" w:hAnsi="Times New Roman"/>
                <w:sz w:val="17"/>
                <w:szCs w:val="17"/>
                <w:color w:val="auto"/>
              </w:rPr>
              <w:t>Total (Boe)</w:t>
            </w:r>
            <w:r>
              <w:rPr>
                <w:rFonts w:ascii="Times New Roman" w:cs="Times New Roman" w:eastAsia="Times New Roman" w:hAnsi="Times New Roman"/>
                <w:sz w:val="24"/>
                <w:szCs w:val="24"/>
                <w:color w:val="auto"/>
                <w:vertAlign w:val="superscript"/>
              </w:rPr>
              <w:t>(1)</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11,615</w:t>
            </w:r>
          </w:p>
        </w:tc>
        <w:tc>
          <w:tcPr>
            <w:tcW w:w="22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10,531</w:t>
            </w:r>
          </w:p>
        </w:tc>
      </w:tr>
      <w:tr>
        <w:trPr>
          <w:trHeight w:val="20"/>
        </w:trPr>
        <w:tc>
          <w:tcPr>
            <w:tcW w:w="22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r>
        <w:trPr>
          <w:trHeight w:val="102"/>
        </w:trPr>
        <w:tc>
          <w:tcPr>
            <w:tcW w:w="2240" w:type="dxa"/>
            <w:vAlign w:val="bottom"/>
            <w:tcBorders>
              <w:bottom w:val="single" w:sz="8" w:color="auto"/>
            </w:tcBorders>
          </w:tcPr>
          <w:p>
            <w:pPr>
              <w:spacing w:after="0"/>
              <w:rPr>
                <w:sz w:val="8"/>
                <w:szCs w:val="8"/>
                <w:color w:val="auto"/>
              </w:rPr>
            </w:pPr>
          </w:p>
        </w:tc>
        <w:tc>
          <w:tcPr>
            <w:tcW w:w="4420" w:type="dxa"/>
            <w:vAlign w:val="bottom"/>
          </w:tcPr>
          <w:p>
            <w:pPr>
              <w:spacing w:after="0"/>
              <w:rPr>
                <w:sz w:val="8"/>
                <w:szCs w:val="8"/>
                <w:color w:val="auto"/>
              </w:rPr>
            </w:pPr>
          </w:p>
        </w:tc>
        <w:tc>
          <w:tcPr>
            <w:tcW w:w="9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r>
    </w:tbl>
    <w:p>
      <w:pPr>
        <w:spacing w:after="0" w:line="76" w:lineRule="exact"/>
        <w:rPr>
          <w:sz w:val="20"/>
          <w:szCs w:val="20"/>
          <w:color w:val="auto"/>
        </w:rPr>
      </w:pPr>
    </w:p>
    <w:p>
      <w:pPr>
        <w:ind w:left="380" w:right="379" w:hanging="330"/>
        <w:spacing w:after="0" w:line="312" w:lineRule="auto"/>
        <w:tabs>
          <w:tab w:leader="none" w:pos="380"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Natural gas is converted to Boe at the rate of one barrel equals six Mcf based upon the approximate relative energy content of oil and natural gas, which is not necessarily indicative of the relationship of oil and natural gas prices.</w:t>
      </w:r>
    </w:p>
    <w:p>
      <w:pPr>
        <w:spacing w:after="0" w:line="13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Lease Operating Expenses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231F20"/>
        </w:rPr>
        <w:t>Lease operating expenses were approximately $</w:t>
      </w:r>
      <w:r>
        <w:rPr>
          <w:rFonts w:ascii="Times New Roman" w:cs="Times New Roman" w:eastAsia="Times New Roman" w:hAnsi="Times New Roman"/>
          <w:sz w:val="18"/>
          <w:szCs w:val="18"/>
          <w:color w:val="000000"/>
        </w:rPr>
        <w:t>15,840</w:t>
      </w:r>
      <w:r>
        <w:rPr>
          <w:rFonts w:ascii="Times New Roman" w:cs="Times New Roman" w:eastAsia="Times New Roman" w:hAnsi="Times New Roman"/>
          <w:sz w:val="18"/>
          <w:szCs w:val="18"/>
          <w:color w:val="231F20"/>
        </w:rPr>
        <w:t xml:space="preserve"> thousand and $</w:t>
      </w:r>
      <w:r>
        <w:rPr>
          <w:rFonts w:ascii="Times New Roman" w:cs="Times New Roman" w:eastAsia="Times New Roman" w:hAnsi="Times New Roman"/>
          <w:sz w:val="18"/>
          <w:szCs w:val="18"/>
          <w:color w:val="000000"/>
        </w:rPr>
        <w:t>8,407 thousand</w:t>
      </w:r>
      <w:r>
        <w:rPr>
          <w:rFonts w:ascii="Times New Roman" w:cs="Times New Roman" w:eastAsia="Times New Roman" w:hAnsi="Times New Roman"/>
          <w:sz w:val="18"/>
          <w:szCs w:val="18"/>
          <w:color w:val="231F20"/>
        </w:rPr>
        <w:t xml:space="preserve"> for the nine months ended September 30, 2022 and 2021, respectively. On a per unit basis, production expenses increased </w:t>
      </w:r>
      <w:r>
        <w:rPr>
          <w:rFonts w:ascii="Times New Roman" w:cs="Times New Roman" w:eastAsia="Times New Roman" w:hAnsi="Times New Roman"/>
          <w:sz w:val="18"/>
          <w:szCs w:val="18"/>
          <w:color w:val="000000"/>
        </w:rPr>
        <w:t>71</w:t>
      </w:r>
      <w:r>
        <w:rPr>
          <w:rFonts w:ascii="Times New Roman" w:cs="Times New Roman" w:eastAsia="Times New Roman" w:hAnsi="Times New Roman"/>
          <w:sz w:val="18"/>
          <w:szCs w:val="18"/>
          <w:color w:val="231F20"/>
        </w:rPr>
        <w:t xml:space="preserve">% from </w:t>
      </w:r>
      <w:r>
        <w:rPr>
          <w:rFonts w:ascii="Times New Roman" w:cs="Times New Roman" w:eastAsia="Times New Roman" w:hAnsi="Times New Roman"/>
          <w:sz w:val="18"/>
          <w:szCs w:val="18"/>
          <w:color w:val="000000"/>
        </w:rPr>
        <w:t>$2.96</w:t>
      </w:r>
      <w:r>
        <w:rPr>
          <w:rFonts w:ascii="Times New Roman" w:cs="Times New Roman" w:eastAsia="Times New Roman" w:hAnsi="Times New Roman"/>
          <w:sz w:val="18"/>
          <w:szCs w:val="18"/>
          <w:color w:val="231F20"/>
        </w:rPr>
        <w:t xml:space="preserve"> per Boe for the nine months ended September 30, 2021 to </w:t>
      </w:r>
      <w:r>
        <w:rPr>
          <w:rFonts w:ascii="Times New Roman" w:cs="Times New Roman" w:eastAsia="Times New Roman" w:hAnsi="Times New Roman"/>
          <w:sz w:val="18"/>
          <w:szCs w:val="18"/>
          <w:color w:val="000000"/>
        </w:rPr>
        <w:t>$5.05</w:t>
      </w:r>
      <w:r>
        <w:rPr>
          <w:rFonts w:ascii="Times New Roman" w:cs="Times New Roman" w:eastAsia="Times New Roman" w:hAnsi="Times New Roman"/>
          <w:sz w:val="18"/>
          <w:szCs w:val="18"/>
          <w:color w:val="231F20"/>
        </w:rPr>
        <w:t xml:space="preserve"> per Boe for the nine months ended September 30, 2022, due primarily to gas processing fees in the Permian Basin and an increase in commodity prices</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On an absolute dollar basis, the </w:t>
      </w:r>
      <w:r>
        <w:rPr>
          <w:rFonts w:ascii="Times New Roman" w:cs="Times New Roman" w:eastAsia="Times New Roman" w:hAnsi="Times New Roman"/>
          <w:sz w:val="18"/>
          <w:szCs w:val="18"/>
          <w:color w:val="000000"/>
        </w:rPr>
        <w:t>88</w:t>
      </w:r>
      <w:r>
        <w:rPr>
          <w:rFonts w:ascii="Times New Roman" w:cs="Times New Roman" w:eastAsia="Times New Roman" w:hAnsi="Times New Roman"/>
          <w:sz w:val="18"/>
          <w:szCs w:val="18"/>
          <w:color w:val="231F20"/>
        </w:rPr>
        <w:t>% increase in our production related expenses for the nine months ended September 30, 2022, compared to the nine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 xml:space="preserve">months ended September 30, 2021 was primarily due to a </w:t>
      </w:r>
      <w:r>
        <w:rPr>
          <w:rFonts w:ascii="Times New Roman" w:cs="Times New Roman" w:eastAsia="Times New Roman" w:hAnsi="Times New Roman"/>
          <w:sz w:val="18"/>
          <w:szCs w:val="18"/>
          <w:color w:val="000000"/>
        </w:rPr>
        <w:t>71</w:t>
      </w:r>
      <w:r>
        <w:rPr>
          <w:rFonts w:ascii="Times New Roman" w:cs="Times New Roman" w:eastAsia="Times New Roman" w:hAnsi="Times New Roman"/>
          <w:sz w:val="18"/>
          <w:szCs w:val="18"/>
          <w:color w:val="231F20"/>
        </w:rPr>
        <w:t xml:space="preserve">% increase in per unit costs and a </w:t>
      </w:r>
      <w:r>
        <w:rPr>
          <w:rFonts w:ascii="Times New Roman" w:cs="Times New Roman" w:eastAsia="Times New Roman" w:hAnsi="Times New Roman"/>
          <w:sz w:val="18"/>
          <w:szCs w:val="18"/>
          <w:color w:val="000000"/>
        </w:rPr>
        <w:t>10</w:t>
      </w:r>
      <w:r>
        <w:rPr>
          <w:rFonts w:ascii="Times New Roman" w:cs="Times New Roman" w:eastAsia="Times New Roman" w:hAnsi="Times New Roman"/>
          <w:sz w:val="18"/>
          <w:szCs w:val="18"/>
          <w:color w:val="231F20"/>
        </w:rPr>
        <w:t>% increase in productio</w:t>
      </w:r>
      <w:r>
        <w:rPr>
          <w:rFonts w:ascii="Times New Roman" w:cs="Times New Roman" w:eastAsia="Times New Roman" w:hAnsi="Times New Roman"/>
          <w:sz w:val="18"/>
          <w:szCs w:val="18"/>
          <w:color w:val="000000"/>
        </w:rPr>
        <w:t>n.</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Production Taxes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231F20"/>
        </w:rPr>
        <w:t>We pay production taxes based on realized oil and natural gas sales. Production taxes were $</w:t>
      </w:r>
      <w:r>
        <w:rPr>
          <w:rFonts w:ascii="Times New Roman" w:cs="Times New Roman" w:eastAsia="Times New Roman" w:hAnsi="Times New Roman"/>
          <w:sz w:val="18"/>
          <w:szCs w:val="18"/>
          <w:color w:val="000000"/>
        </w:rPr>
        <w:t>14,628</w:t>
      </w:r>
      <w:r>
        <w:rPr>
          <w:rFonts w:ascii="Times New Roman" w:cs="Times New Roman" w:eastAsia="Times New Roman" w:hAnsi="Times New Roman"/>
          <w:sz w:val="18"/>
          <w:szCs w:val="18"/>
          <w:color w:val="231F20"/>
        </w:rPr>
        <w:t xml:space="preserve"> thousand for the nine months ended September 30, 2022, compared to $</w:t>
      </w:r>
      <w:r>
        <w:rPr>
          <w:rFonts w:ascii="Times New Roman" w:cs="Times New Roman" w:eastAsia="Times New Roman" w:hAnsi="Times New Roman"/>
          <w:sz w:val="18"/>
          <w:szCs w:val="18"/>
          <w:color w:val="000000"/>
        </w:rPr>
        <w:t>7,737</w:t>
      </w:r>
      <w:r>
        <w:rPr>
          <w:rFonts w:ascii="Times New Roman" w:cs="Times New Roman" w:eastAsia="Times New Roman" w:hAnsi="Times New Roman"/>
          <w:sz w:val="18"/>
          <w:szCs w:val="18"/>
          <w:color w:val="231F20"/>
        </w:rPr>
        <w:t xml:space="preserve"> thousand for the nine months ended September 30, 2021. As a percentage of oil and natural gas sales, our production taxes were 6% and </w:t>
      </w:r>
      <w:r>
        <w:rPr>
          <w:rFonts w:ascii="Times New Roman" w:cs="Times New Roman" w:eastAsia="Times New Roman" w:hAnsi="Times New Roman"/>
          <w:sz w:val="18"/>
          <w:szCs w:val="18"/>
          <w:color w:val="000000"/>
        </w:rPr>
        <w:t>5% for the</w:t>
      </w:r>
      <w:r>
        <w:rPr>
          <w:rFonts w:ascii="Times New Roman" w:cs="Times New Roman" w:eastAsia="Times New Roman" w:hAnsi="Times New Roman"/>
          <w:sz w:val="18"/>
          <w:szCs w:val="18"/>
          <w:color w:val="231F20"/>
        </w:rPr>
        <w:t xml:space="preserve"> nine months ended September 30, 2022 and 2021, respectively. Production taxes as a percent of total oil and natural gas sales are consistent with historical trend</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Depletion and Accretion</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231F20"/>
        </w:rPr>
        <w:t>Depletion and accretion was approximately $70,529 thousand for the nine months ended September 30, 2022, compared to $</w:t>
      </w:r>
      <w:r>
        <w:rPr>
          <w:rFonts w:ascii="Times New Roman" w:cs="Times New Roman" w:eastAsia="Times New Roman" w:hAnsi="Times New Roman"/>
          <w:sz w:val="18"/>
          <w:szCs w:val="18"/>
          <w:color w:val="000000"/>
        </w:rPr>
        <w:t>45,798</w:t>
      </w:r>
      <w:r>
        <w:rPr>
          <w:rFonts w:ascii="Times New Roman" w:cs="Times New Roman" w:eastAsia="Times New Roman" w:hAnsi="Times New Roman"/>
          <w:sz w:val="18"/>
          <w:szCs w:val="18"/>
          <w:color w:val="231F20"/>
        </w:rPr>
        <w:t xml:space="preserve"> thousand for the nine months ended September 30, 2021. Depletion and accretion was $</w:t>
      </w:r>
      <w:r>
        <w:rPr>
          <w:rFonts w:ascii="Times New Roman" w:cs="Times New Roman" w:eastAsia="Times New Roman" w:hAnsi="Times New Roman"/>
          <w:sz w:val="18"/>
          <w:szCs w:val="18"/>
          <w:color w:val="000000"/>
        </w:rPr>
        <w:t>22.49</w:t>
      </w:r>
      <w:r>
        <w:rPr>
          <w:rFonts w:ascii="Times New Roman" w:cs="Times New Roman" w:eastAsia="Times New Roman" w:hAnsi="Times New Roman"/>
          <w:sz w:val="18"/>
          <w:szCs w:val="18"/>
          <w:color w:val="231F20"/>
        </w:rPr>
        <w:t xml:space="preserve"> per Boe for the nine months ended September 30, 2022 compared to $</w:t>
      </w:r>
      <w:r>
        <w:rPr>
          <w:rFonts w:ascii="Times New Roman" w:cs="Times New Roman" w:eastAsia="Times New Roman" w:hAnsi="Times New Roman"/>
          <w:sz w:val="18"/>
          <w:szCs w:val="18"/>
          <w:color w:val="000000"/>
        </w:rPr>
        <w:t>16.11</w:t>
      </w:r>
      <w:r>
        <w:rPr>
          <w:rFonts w:ascii="Times New Roman" w:cs="Times New Roman" w:eastAsia="Times New Roman" w:hAnsi="Times New Roman"/>
          <w:sz w:val="18"/>
          <w:szCs w:val="18"/>
          <w:color w:val="231F20"/>
        </w:rPr>
        <w:t xml:space="preserve"> per Boe for the nine months ended September 30, 2021. Aggregate depletion and accretion expense increased for the nine months ended September 30, 2022 compared to the nine months ended September 30, 2021, which is consistent with production levels, which also increased period over period. The aggregate increase in depletion and accretion expense for the nine months ended September 30, 2022 compared to the nine months ended September 30, 2021 was driven by a </w:t>
      </w:r>
      <w:r>
        <w:rPr>
          <w:rFonts w:ascii="Times New Roman" w:cs="Times New Roman" w:eastAsia="Times New Roman" w:hAnsi="Times New Roman"/>
          <w:sz w:val="18"/>
          <w:szCs w:val="18"/>
          <w:color w:val="000000"/>
        </w:rPr>
        <w:t>40%</w:t>
      </w:r>
      <w:r>
        <w:rPr>
          <w:rFonts w:ascii="Times New Roman" w:cs="Times New Roman" w:eastAsia="Times New Roman" w:hAnsi="Times New Roman"/>
          <w:sz w:val="18"/>
          <w:szCs w:val="18"/>
          <w:color w:val="231F20"/>
        </w:rPr>
        <w:t xml:space="preserve"> increase in the depletion and accretion rate per Boe and a </w:t>
      </w:r>
      <w:r>
        <w:rPr>
          <w:rFonts w:ascii="Times New Roman" w:cs="Times New Roman" w:eastAsia="Times New Roman" w:hAnsi="Times New Roman"/>
          <w:sz w:val="18"/>
          <w:szCs w:val="18"/>
          <w:color w:val="000000"/>
        </w:rPr>
        <w:t>10%</w:t>
      </w:r>
      <w:r>
        <w:rPr>
          <w:rFonts w:ascii="Times New Roman" w:cs="Times New Roman" w:eastAsia="Times New Roman" w:hAnsi="Times New Roman"/>
          <w:sz w:val="18"/>
          <w:szCs w:val="18"/>
          <w:color w:val="231F20"/>
        </w:rPr>
        <w:t xml:space="preserve"> increase in production level</w:t>
      </w:r>
      <w:r>
        <w:rPr>
          <w:rFonts w:ascii="Times New Roman" w:cs="Times New Roman" w:eastAsia="Times New Roman" w:hAnsi="Times New Roman"/>
          <w:sz w:val="18"/>
          <w:szCs w:val="18"/>
          <w:color w:val="000000"/>
        </w:rPr>
        <w:t>s.</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3" w:name="page34"/>
    <w:bookmarkEnd w:id="33"/>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231F20"/>
        </w:rPr>
        <w:t>General and administrative expenses were approximately $</w:t>
      </w:r>
      <w:r>
        <w:rPr>
          <w:rFonts w:ascii="Times New Roman" w:cs="Times New Roman" w:eastAsia="Times New Roman" w:hAnsi="Times New Roman"/>
          <w:sz w:val="18"/>
          <w:szCs w:val="18"/>
          <w:color w:val="000000"/>
        </w:rPr>
        <w:t>4,880</w:t>
      </w:r>
      <w:r>
        <w:rPr>
          <w:rFonts w:ascii="Times New Roman" w:cs="Times New Roman" w:eastAsia="Times New Roman" w:hAnsi="Times New Roman"/>
          <w:sz w:val="18"/>
          <w:szCs w:val="18"/>
          <w:color w:val="231F20"/>
        </w:rPr>
        <w:t xml:space="preserve"> thousand for the nine months ended September 30, 2022, compared to $</w:t>
      </w:r>
      <w:r>
        <w:rPr>
          <w:rFonts w:ascii="Times New Roman" w:cs="Times New Roman" w:eastAsia="Times New Roman" w:hAnsi="Times New Roman"/>
          <w:sz w:val="18"/>
          <w:szCs w:val="18"/>
          <w:color w:val="000000"/>
        </w:rPr>
        <w:t>4,978</w:t>
      </w:r>
      <w:r>
        <w:rPr>
          <w:rFonts w:ascii="Times New Roman" w:cs="Times New Roman" w:eastAsia="Times New Roman" w:hAnsi="Times New Roman"/>
          <w:sz w:val="18"/>
          <w:szCs w:val="18"/>
          <w:color w:val="231F20"/>
        </w:rPr>
        <w:t xml:space="preserve"> thousand </w:t>
      </w:r>
      <w:r>
        <w:rPr>
          <w:rFonts w:ascii="Times New Roman" w:cs="Times New Roman" w:eastAsia="Times New Roman" w:hAnsi="Times New Roman"/>
          <w:sz w:val="18"/>
          <w:szCs w:val="18"/>
          <w:color w:val="000000"/>
        </w:rPr>
        <w:t>for</w:t>
      </w:r>
      <w:r>
        <w:rPr>
          <w:rFonts w:ascii="Times New Roman" w:cs="Times New Roman" w:eastAsia="Times New Roman" w:hAnsi="Times New Roman"/>
          <w:sz w:val="18"/>
          <w:szCs w:val="18"/>
          <w:color w:val="231F20"/>
        </w:rPr>
        <w:t xml:space="preserve"> the nine months ended September 30, 2021, respectively. General and administrative expense remained materially consistent for the nine months ended September 30, 2022, compared to the nine months ended September 30, 2021</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General and administrative fees include management fees which were approximately $2,808 thousand and $2,908 thousand for the nine months ended September 30, 2022 and 2021, respectively. Management fees also remained materially consistent period over period.</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Gain/(Loss) on Derivative Contracts</w:t>
      </w:r>
    </w:p>
    <w:p>
      <w:pPr>
        <w:spacing w:after="0" w:line="229" w:lineRule="exact"/>
        <w:rPr>
          <w:sz w:val="20"/>
          <w:szCs w:val="20"/>
          <w:color w:val="auto"/>
        </w:rPr>
      </w:pPr>
    </w:p>
    <w:p>
      <w:pPr>
        <w:jc w:val="both"/>
        <w:ind w:left="60" w:right="59"/>
        <w:spacing w:after="0" w:line="252" w:lineRule="auto"/>
        <w:rPr>
          <w:sz w:val="20"/>
          <w:szCs w:val="20"/>
          <w:color w:val="auto"/>
        </w:rPr>
      </w:pPr>
      <w:r>
        <w:rPr>
          <w:rFonts w:ascii="Times New Roman" w:cs="Times New Roman" w:eastAsia="Times New Roman" w:hAnsi="Times New Roman"/>
          <w:sz w:val="18"/>
          <w:szCs w:val="18"/>
          <w:color w:val="231F20"/>
        </w:rPr>
        <w:t>We enter into commodity derivatives instruments to manage the price risk attributable to future oil and natural gas production. We recorded a loss on derivative contracts of approximately $</w:t>
      </w:r>
      <w:r>
        <w:rPr>
          <w:rFonts w:ascii="Times New Roman" w:cs="Times New Roman" w:eastAsia="Times New Roman" w:hAnsi="Times New Roman"/>
          <w:sz w:val="18"/>
          <w:szCs w:val="18"/>
          <w:color w:val="000000"/>
        </w:rPr>
        <w:t>19,147</w:t>
      </w:r>
      <w:r>
        <w:rPr>
          <w:rFonts w:ascii="Times New Roman" w:cs="Times New Roman" w:eastAsia="Times New Roman" w:hAnsi="Times New Roman"/>
          <w:sz w:val="18"/>
          <w:szCs w:val="18"/>
          <w:color w:val="231F20"/>
        </w:rPr>
        <w:t xml:space="preserve"> thousand during the nine months ended September 30, 2022, compared to $</w:t>
      </w:r>
      <w:r>
        <w:rPr>
          <w:rFonts w:ascii="Times New Roman" w:cs="Times New Roman" w:eastAsia="Times New Roman" w:hAnsi="Times New Roman"/>
          <w:sz w:val="18"/>
          <w:szCs w:val="18"/>
          <w:color w:val="000000"/>
        </w:rPr>
        <w:t>18,115</w:t>
      </w:r>
      <w:r>
        <w:rPr>
          <w:rFonts w:ascii="Times New Roman" w:cs="Times New Roman" w:eastAsia="Times New Roman" w:hAnsi="Times New Roman"/>
          <w:sz w:val="18"/>
          <w:szCs w:val="18"/>
          <w:color w:val="231F20"/>
        </w:rPr>
        <w:t xml:space="preserve"> thousand during the nine months ended September 30, 2021. Volatility in commodity prices in the nine months ended September 30, 2022 resulted in realized losses of $</w:t>
      </w:r>
      <w:r>
        <w:rPr>
          <w:rFonts w:ascii="Times New Roman" w:cs="Times New Roman" w:eastAsia="Times New Roman" w:hAnsi="Times New Roman"/>
          <w:sz w:val="18"/>
          <w:szCs w:val="18"/>
          <w:color w:val="000000"/>
        </w:rPr>
        <w:t>24,747</w:t>
      </w:r>
      <w:r>
        <w:rPr>
          <w:rFonts w:ascii="Times New Roman" w:cs="Times New Roman" w:eastAsia="Times New Roman" w:hAnsi="Times New Roman"/>
          <w:sz w:val="18"/>
          <w:szCs w:val="18"/>
          <w:color w:val="231F20"/>
        </w:rPr>
        <w:t xml:space="preserve"> thousand in the nine months ended September 30, 2022 compared to $</w:t>
      </w:r>
      <w:r>
        <w:rPr>
          <w:rFonts w:ascii="Times New Roman" w:cs="Times New Roman" w:eastAsia="Times New Roman" w:hAnsi="Times New Roman"/>
          <w:sz w:val="18"/>
          <w:szCs w:val="18"/>
          <w:color w:val="000000"/>
        </w:rPr>
        <w:t>7,105</w:t>
      </w:r>
      <w:r>
        <w:rPr>
          <w:rFonts w:ascii="Times New Roman" w:cs="Times New Roman" w:eastAsia="Times New Roman" w:hAnsi="Times New Roman"/>
          <w:sz w:val="18"/>
          <w:szCs w:val="18"/>
          <w:color w:val="231F20"/>
        </w:rPr>
        <w:t xml:space="preserve"> thousand in the nine months ended September 30, 2021. For the nine months ended September 30, 2022, unrealized gains were $</w:t>
      </w:r>
      <w:r>
        <w:rPr>
          <w:rFonts w:ascii="Times New Roman" w:cs="Times New Roman" w:eastAsia="Times New Roman" w:hAnsi="Times New Roman"/>
          <w:sz w:val="18"/>
          <w:szCs w:val="18"/>
          <w:color w:val="000000"/>
        </w:rPr>
        <w:t>5,600</w:t>
      </w:r>
      <w:r>
        <w:rPr>
          <w:rFonts w:ascii="Times New Roman" w:cs="Times New Roman" w:eastAsia="Times New Roman" w:hAnsi="Times New Roman"/>
          <w:sz w:val="18"/>
          <w:szCs w:val="18"/>
          <w:color w:val="231F20"/>
        </w:rPr>
        <w:t xml:space="preserve"> thousand</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compared to unrealized losses of $</w:t>
      </w:r>
      <w:r>
        <w:rPr>
          <w:rFonts w:ascii="Times New Roman" w:cs="Times New Roman" w:eastAsia="Times New Roman" w:hAnsi="Times New Roman"/>
          <w:sz w:val="18"/>
          <w:szCs w:val="18"/>
          <w:color w:val="000000"/>
        </w:rPr>
        <w:t>11,010</w:t>
      </w:r>
      <w:r>
        <w:rPr>
          <w:rFonts w:ascii="Times New Roman" w:cs="Times New Roman" w:eastAsia="Times New Roman" w:hAnsi="Times New Roman"/>
          <w:sz w:val="18"/>
          <w:szCs w:val="18"/>
          <w:color w:val="231F20"/>
        </w:rPr>
        <w:t xml:space="preserve"> thousand in the nine months ended September 30, 2021. Our average nine months ended September 30, 2022 realized oil price per barrel after reflecting settled derivatives was $</w:t>
      </w:r>
      <w:r>
        <w:rPr>
          <w:rFonts w:ascii="Times New Roman" w:cs="Times New Roman" w:eastAsia="Times New Roman" w:hAnsi="Times New Roman"/>
          <w:sz w:val="18"/>
          <w:szCs w:val="18"/>
          <w:color w:val="000000"/>
        </w:rPr>
        <w:t>89.18,</w:t>
      </w:r>
      <w:r>
        <w:rPr>
          <w:rFonts w:ascii="Times New Roman" w:cs="Times New Roman" w:eastAsia="Times New Roman" w:hAnsi="Times New Roman"/>
          <w:sz w:val="18"/>
          <w:szCs w:val="18"/>
          <w:color w:val="231F20"/>
        </w:rPr>
        <w:t xml:space="preserve"> compared to $</w:t>
      </w:r>
      <w:r>
        <w:rPr>
          <w:rFonts w:ascii="Times New Roman" w:cs="Times New Roman" w:eastAsia="Times New Roman" w:hAnsi="Times New Roman"/>
          <w:sz w:val="18"/>
          <w:szCs w:val="18"/>
          <w:color w:val="000000"/>
        </w:rPr>
        <w:t>58.37</w:t>
      </w:r>
      <w:r>
        <w:rPr>
          <w:rFonts w:ascii="Times New Roman" w:cs="Times New Roman" w:eastAsia="Times New Roman" w:hAnsi="Times New Roman"/>
          <w:sz w:val="18"/>
          <w:szCs w:val="18"/>
          <w:color w:val="231F20"/>
        </w:rPr>
        <w:t xml:space="preserve"> in the nine months ended September 30, 2021. Our settled derivatives decreased our realized oil price per barrel by $</w:t>
      </w:r>
      <w:r>
        <w:rPr>
          <w:rFonts w:ascii="Times New Roman" w:cs="Times New Roman" w:eastAsia="Times New Roman" w:hAnsi="Times New Roman"/>
          <w:sz w:val="18"/>
          <w:szCs w:val="18"/>
          <w:color w:val="000000"/>
        </w:rPr>
        <w:t>7.54 in the nine months ended September 30,</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2022, </w:t>
      </w:r>
      <w:r>
        <w:rPr>
          <w:rFonts w:ascii="Times New Roman" w:cs="Times New Roman" w:eastAsia="Times New Roman" w:hAnsi="Times New Roman"/>
          <w:sz w:val="18"/>
          <w:szCs w:val="18"/>
          <w:color w:val="231F20"/>
        </w:rPr>
        <w:t>compared to $</w:t>
      </w:r>
      <w:r>
        <w:rPr>
          <w:rFonts w:ascii="Times New Roman" w:cs="Times New Roman" w:eastAsia="Times New Roman" w:hAnsi="Times New Roman"/>
          <w:sz w:val="18"/>
          <w:szCs w:val="18"/>
          <w:color w:val="000000"/>
        </w:rPr>
        <w:t xml:space="preserve">1.48 </w:t>
      </w:r>
      <w:r>
        <w:rPr>
          <w:rFonts w:ascii="Times New Roman" w:cs="Times New Roman" w:eastAsia="Times New Roman" w:hAnsi="Times New Roman"/>
          <w:sz w:val="18"/>
          <w:szCs w:val="18"/>
          <w:color w:val="231F20"/>
        </w:rPr>
        <w:t>in the nine months ended September 30, 2021. Our realized natural gas price per Mcf was $</w:t>
      </w:r>
      <w:r>
        <w:rPr>
          <w:rFonts w:ascii="Times New Roman" w:cs="Times New Roman" w:eastAsia="Times New Roman" w:hAnsi="Times New Roman"/>
          <w:sz w:val="18"/>
          <w:szCs w:val="18"/>
          <w:color w:val="000000"/>
        </w:rPr>
        <w:t xml:space="preserve">8.61 </w:t>
      </w:r>
      <w:r>
        <w:rPr>
          <w:rFonts w:ascii="Times New Roman" w:cs="Times New Roman" w:eastAsia="Times New Roman" w:hAnsi="Times New Roman"/>
          <w:sz w:val="18"/>
          <w:szCs w:val="18"/>
          <w:color w:val="231F20"/>
        </w:rPr>
        <w:t>in the nine months ended September 30, 2022, compared to $</w:t>
      </w:r>
      <w:r>
        <w:rPr>
          <w:rFonts w:ascii="Times New Roman" w:cs="Times New Roman" w:eastAsia="Times New Roman" w:hAnsi="Times New Roman"/>
          <w:sz w:val="18"/>
          <w:szCs w:val="18"/>
          <w:color w:val="000000"/>
        </w:rPr>
        <w:t>5.09</w:t>
      </w:r>
      <w:r>
        <w:rPr>
          <w:rFonts w:ascii="Times New Roman" w:cs="Times New Roman" w:eastAsia="Times New Roman" w:hAnsi="Times New Roman"/>
          <w:sz w:val="18"/>
          <w:szCs w:val="18"/>
          <w:color w:val="231F20"/>
        </w:rPr>
        <w:t xml:space="preserve"> in the nine months ended September 30, 2021. Our settled derivatives decreased our realized natural gas price per Mcf by $</w:t>
      </w:r>
      <w:r>
        <w:rPr>
          <w:rFonts w:ascii="Times New Roman" w:cs="Times New Roman" w:eastAsia="Times New Roman" w:hAnsi="Times New Roman"/>
          <w:sz w:val="18"/>
          <w:szCs w:val="18"/>
          <w:color w:val="000000"/>
        </w:rPr>
        <w:t>1.42</w:t>
      </w:r>
      <w:r>
        <w:rPr>
          <w:rFonts w:ascii="Times New Roman" w:cs="Times New Roman" w:eastAsia="Times New Roman" w:hAnsi="Times New Roman"/>
          <w:sz w:val="18"/>
          <w:szCs w:val="18"/>
          <w:color w:val="231F20"/>
        </w:rPr>
        <w:t xml:space="preserve"> in the nine months ended September 30, 2022, and $</w:t>
      </w:r>
      <w:r>
        <w:rPr>
          <w:rFonts w:ascii="Times New Roman" w:cs="Times New Roman" w:eastAsia="Times New Roman" w:hAnsi="Times New Roman"/>
          <w:sz w:val="18"/>
          <w:szCs w:val="18"/>
          <w:color w:val="000000"/>
        </w:rPr>
        <w:t>0.69</w:t>
      </w:r>
      <w:r>
        <w:rPr>
          <w:rFonts w:ascii="Times New Roman" w:cs="Times New Roman" w:eastAsia="Times New Roman" w:hAnsi="Times New Roman"/>
          <w:sz w:val="18"/>
          <w:szCs w:val="18"/>
          <w:color w:val="231F20"/>
        </w:rPr>
        <w:t xml:space="preserve"> in the nine months ended September 30, 2021. As of September 31, 2022, we ended the period with a $</w:t>
      </w:r>
      <w:r>
        <w:rPr>
          <w:rFonts w:ascii="Times New Roman" w:cs="Times New Roman" w:eastAsia="Times New Roman" w:hAnsi="Times New Roman"/>
          <w:sz w:val="18"/>
          <w:szCs w:val="18"/>
          <w:color w:val="000000"/>
        </w:rPr>
        <w:t>1,247</w:t>
      </w:r>
      <w:r>
        <w:rPr>
          <w:rFonts w:ascii="Times New Roman" w:cs="Times New Roman" w:eastAsia="Times New Roman" w:hAnsi="Times New Roman"/>
          <w:sz w:val="18"/>
          <w:szCs w:val="18"/>
          <w:color w:val="231F20"/>
        </w:rPr>
        <w:t xml:space="preserve"> thousand net derivative asset compared to $</w:t>
      </w:r>
      <w:r>
        <w:rPr>
          <w:rFonts w:ascii="Times New Roman" w:cs="Times New Roman" w:eastAsia="Times New Roman" w:hAnsi="Times New Roman"/>
          <w:sz w:val="18"/>
          <w:szCs w:val="18"/>
          <w:color w:val="000000"/>
        </w:rPr>
        <w:t>4,353 thousand</w:t>
      </w:r>
      <w:r>
        <w:rPr>
          <w:rFonts w:ascii="Times New Roman" w:cs="Times New Roman" w:eastAsia="Times New Roman" w:hAnsi="Times New Roman"/>
          <w:sz w:val="18"/>
          <w:szCs w:val="18"/>
          <w:color w:val="231F20"/>
        </w:rPr>
        <w:t xml:space="preserve"> net derivative liability as of December 31, 202</w:t>
      </w:r>
      <w:r>
        <w:rPr>
          <w:rFonts w:ascii="Times New Roman" w:cs="Times New Roman" w:eastAsia="Times New Roman" w:hAnsi="Times New Roman"/>
          <w:sz w:val="18"/>
          <w:szCs w:val="18"/>
          <w:color w:val="000000"/>
        </w:rPr>
        <w:t>1.</w:t>
      </w:r>
    </w:p>
    <w:p>
      <w:pPr>
        <w:spacing w:after="0" w:line="19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231F20"/>
        </w:rPr>
        <w:t>Interest expense was approximately $1,193 thousand and $</w:t>
      </w:r>
      <w:r>
        <w:rPr>
          <w:rFonts w:ascii="Times New Roman" w:cs="Times New Roman" w:eastAsia="Times New Roman" w:hAnsi="Times New Roman"/>
          <w:sz w:val="18"/>
          <w:szCs w:val="18"/>
          <w:color w:val="000000"/>
        </w:rPr>
        <w:t>926</w:t>
      </w:r>
      <w:r>
        <w:rPr>
          <w:rFonts w:ascii="Times New Roman" w:cs="Times New Roman" w:eastAsia="Times New Roman" w:hAnsi="Times New Roman"/>
          <w:sz w:val="18"/>
          <w:szCs w:val="18"/>
          <w:color w:val="231F20"/>
        </w:rPr>
        <w:t xml:space="preserve"> thousand for the nine months ended September 30, 2022 and 2021, respectively. The increase in interest expense for the nine months ended September 30, 2022 as compared to the nine months ended September 30, 2021 was primarily due to </w:t>
      </w:r>
      <w:r>
        <w:rPr>
          <w:rFonts w:ascii="Times New Roman" w:cs="Times New Roman" w:eastAsia="Times New Roman" w:hAnsi="Times New Roman"/>
          <w:sz w:val="18"/>
          <w:szCs w:val="18"/>
          <w:color w:val="000000"/>
        </w:rPr>
        <w:t>an increase in the weighted average interest rate, partially</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offset by a larger outstanding balance on the credit facility during the nine months ended September 30, 2021.</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Liquidity and Capital Resources — Fund III</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Nine months ended September 30, 2022 compared to nine months ended September 30, 2021</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main sources of liquidity and capital resources as of the periods covered by this report have been internally generated cash flow from operations. Our primary use of capital has been for the development and acquisition of oil and natural gas properties. We continually monitor potential capital sources for opportunities to enhance liquidity or otherwise improve our financial position.</w:t>
      </w:r>
    </w:p>
    <w:p>
      <w:pPr>
        <w:spacing w:after="0" w:line="180" w:lineRule="exact"/>
        <w:rPr>
          <w:sz w:val="20"/>
          <w:szCs w:val="20"/>
          <w:color w:val="auto"/>
        </w:rPr>
      </w:pPr>
    </w:p>
    <w:p>
      <w:pPr>
        <w:jc w:val="both"/>
        <w:ind w:left="60" w:right="79"/>
        <w:spacing w:after="0" w:line="266" w:lineRule="auto"/>
        <w:rPr>
          <w:sz w:val="20"/>
          <w:szCs w:val="20"/>
          <w:color w:val="auto"/>
        </w:rPr>
      </w:pPr>
      <w:r>
        <w:rPr>
          <w:rFonts w:ascii="Times New Roman" w:cs="Times New Roman" w:eastAsia="Times New Roman" w:hAnsi="Times New Roman"/>
          <w:sz w:val="18"/>
          <w:szCs w:val="18"/>
          <w:color w:val="231F20"/>
        </w:rPr>
        <w:t>As of September 30, 2022, we had no outstanding debt. We had approximately $10</w:t>
      </w:r>
      <w:r>
        <w:rPr>
          <w:rFonts w:ascii="Times New Roman" w:cs="Times New Roman" w:eastAsia="Times New Roman" w:hAnsi="Times New Roman"/>
          <w:sz w:val="18"/>
          <w:szCs w:val="18"/>
          <w:color w:val="000000"/>
        </w:rPr>
        <w:t>6,410</w:t>
      </w:r>
      <w:r>
        <w:rPr>
          <w:rFonts w:ascii="Times New Roman" w:cs="Times New Roman" w:eastAsia="Times New Roman" w:hAnsi="Times New Roman"/>
          <w:sz w:val="18"/>
          <w:szCs w:val="18"/>
          <w:color w:val="231F20"/>
        </w:rPr>
        <w:t xml:space="preserve"> thousand in liquidity as of September 30, 2022, consisting of approximately $</w:t>
      </w:r>
      <w:r>
        <w:rPr>
          <w:rFonts w:ascii="Times New Roman" w:cs="Times New Roman" w:eastAsia="Times New Roman" w:hAnsi="Times New Roman"/>
          <w:sz w:val="18"/>
          <w:szCs w:val="18"/>
          <w:color w:val="000000"/>
        </w:rPr>
        <w:t>100,000</w:t>
      </w:r>
      <w:r>
        <w:rPr>
          <w:rFonts w:ascii="Times New Roman" w:cs="Times New Roman" w:eastAsia="Times New Roman" w:hAnsi="Times New Roman"/>
          <w:sz w:val="18"/>
          <w:szCs w:val="18"/>
          <w:color w:val="231F20"/>
        </w:rPr>
        <w:t xml:space="preserve"> thousand of committed borrowing availability under the revolving credit facility and approximately $</w:t>
      </w:r>
      <w:r>
        <w:rPr>
          <w:rFonts w:ascii="Times New Roman" w:cs="Times New Roman" w:eastAsia="Times New Roman" w:hAnsi="Times New Roman"/>
          <w:sz w:val="18"/>
          <w:szCs w:val="18"/>
          <w:color w:val="000000"/>
        </w:rPr>
        <w:t>6,410</w:t>
      </w:r>
      <w:r>
        <w:rPr>
          <w:rFonts w:ascii="Times New Roman" w:cs="Times New Roman" w:eastAsia="Times New Roman" w:hAnsi="Times New Roman"/>
          <w:sz w:val="18"/>
          <w:szCs w:val="18"/>
          <w:color w:val="231F20"/>
        </w:rPr>
        <w:t xml:space="preserve"> thousand of cash on hand</w:t>
      </w:r>
      <w:r>
        <w:rPr>
          <w:rFonts w:ascii="Times New Roman" w:cs="Times New Roman" w:eastAsia="Times New Roman" w:hAnsi="Times New Roman"/>
          <w:sz w:val="18"/>
          <w:szCs w:val="18"/>
          <w:color w:val="000000"/>
        </w:rPr>
        <w:t>.</w:t>
      </w:r>
    </w:p>
    <w:p>
      <w:pPr>
        <w:spacing w:after="0" w:line="176"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auto"/>
        </w:rPr>
        <w:t>With our cash on hand, cash flow from operations, and borrowing capacity under the new revolving credit facility entered into by Granite Ridge subsequent to September 30, 2022, we believe that we will have sufficient cash flow and liquidity</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4" w:name="page35"/>
    <w:bookmarkEnd w:id="34"/>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to fund our budgeted capital expenditures and operating expenses for at least the next twelve months. However, we may seek additional access to capital and liquidity. We cannot assure you, however, that any additional capital will be available to us on favorable terms or at all.</w:t>
      </w:r>
    </w:p>
    <w:p>
      <w:pPr>
        <w:spacing w:after="0" w:line="176"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recent capital commitments have been to fund development of oil and natural gas properties. We expect to fund our near-term capital requirements and working capital needs with cash on hand, cash flows from operations and available borrowing capacity under our new revolving credit facility. Our capital expenditures could be curtailed if our cash flows decline from expected levels.</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ind w:left="60" w:right="59"/>
        <w:spacing w:after="0" w:line="282" w:lineRule="auto"/>
        <w:rPr>
          <w:sz w:val="20"/>
          <w:szCs w:val="20"/>
          <w:color w:val="auto"/>
        </w:rPr>
      </w:pPr>
      <w:r>
        <w:rPr>
          <w:rFonts w:ascii="Times New Roman" w:cs="Times New Roman" w:eastAsia="Times New Roman" w:hAnsi="Times New Roman"/>
          <w:sz w:val="18"/>
          <w:szCs w:val="18"/>
          <w:color w:val="231F20"/>
        </w:rPr>
        <w:t>Our working capital balance fluctuates as a result of changes in commodity pricing and production volumes, collection of receivables, expenditures related to our development operations and the impact of our outstanding derivative instruments</w:t>
      </w:r>
      <w:r>
        <w:rPr>
          <w:rFonts w:ascii="Times New Roman" w:cs="Times New Roman" w:eastAsia="Times New Roman" w:hAnsi="Times New Roman"/>
          <w:sz w:val="18"/>
          <w:szCs w:val="18"/>
          <w:color w:val="000000"/>
        </w:rPr>
        <w:t>.</w:t>
      </w:r>
    </w:p>
    <w:p>
      <w:pPr>
        <w:spacing w:after="0" w:line="162"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231F20"/>
        </w:rPr>
        <w:t>At September 30, 2022, we had a working capital surplus of approximately $</w:t>
      </w:r>
      <w:r>
        <w:rPr>
          <w:rFonts w:ascii="Times New Roman" w:cs="Times New Roman" w:eastAsia="Times New Roman" w:hAnsi="Times New Roman"/>
          <w:sz w:val="18"/>
          <w:szCs w:val="18"/>
          <w:color w:val="000000"/>
        </w:rPr>
        <w:t>70,912</w:t>
      </w:r>
      <w:r>
        <w:rPr>
          <w:rFonts w:ascii="Times New Roman" w:cs="Times New Roman" w:eastAsia="Times New Roman" w:hAnsi="Times New Roman"/>
          <w:sz w:val="18"/>
          <w:szCs w:val="18"/>
          <w:color w:val="231F20"/>
        </w:rPr>
        <w:t xml:space="preserve"> thousand, compared to a surplus of approximately $37,268 thousand at December 31, 2021. Current assets increased by approximately $</w:t>
      </w:r>
      <w:r>
        <w:rPr>
          <w:rFonts w:ascii="Times New Roman" w:cs="Times New Roman" w:eastAsia="Times New Roman" w:hAnsi="Times New Roman"/>
          <w:sz w:val="18"/>
          <w:szCs w:val="18"/>
          <w:color w:val="000000"/>
        </w:rPr>
        <w:t>17,649</w:t>
      </w:r>
      <w:r>
        <w:rPr>
          <w:rFonts w:ascii="Times New Roman" w:cs="Times New Roman" w:eastAsia="Times New Roman" w:hAnsi="Times New Roman"/>
          <w:sz w:val="18"/>
          <w:szCs w:val="18"/>
          <w:color w:val="231F20"/>
        </w:rPr>
        <w:t xml:space="preserve"> thousand and current liabilities decreased by approximately $</w:t>
      </w:r>
      <w:r>
        <w:rPr>
          <w:rFonts w:ascii="Times New Roman" w:cs="Times New Roman" w:eastAsia="Times New Roman" w:hAnsi="Times New Roman"/>
          <w:sz w:val="18"/>
          <w:szCs w:val="18"/>
          <w:color w:val="000000"/>
        </w:rPr>
        <w:t>15,995</w:t>
      </w:r>
      <w:r>
        <w:rPr>
          <w:rFonts w:ascii="Times New Roman" w:cs="Times New Roman" w:eastAsia="Times New Roman" w:hAnsi="Times New Roman"/>
          <w:sz w:val="18"/>
          <w:szCs w:val="18"/>
          <w:color w:val="231F20"/>
        </w:rPr>
        <w:t xml:space="preserve"> thousand at September 30, 2022, compared to December 31, 2021. The increase in current assets in the nine months ended September 30, 2022 as compared to December 31, 2021 is primarily due to an increase in revenue receivable, other assets and derivative assets partially offset by a decrease in cash and advances to operators. The decrease in current liabilities in the nine months ended September 30, 2022 as compared to December 31, 2021 is primarily due to the decrease in our credit facilities and derivative liabilities, partially offset by an increase in accrued expenses</w:t>
      </w:r>
      <w:r>
        <w:rPr>
          <w:rFonts w:ascii="Times New Roman" w:cs="Times New Roman" w:eastAsia="Times New Roman" w:hAnsi="Times New Roman"/>
          <w:sz w:val="18"/>
          <w:szCs w:val="18"/>
          <w:color w:val="000000"/>
        </w:rPr>
        <w:t>.</w:t>
      </w:r>
    </w:p>
    <w:p>
      <w:pPr>
        <w:spacing w:after="0" w:line="18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Our cash flows for the months ended September 30, 2022 and 2021 are presented below:</w:t>
      </w:r>
    </w:p>
    <w:p>
      <w:pPr>
        <w:spacing w:after="0" w:line="232" w:lineRule="exact"/>
        <w:rPr>
          <w:sz w:val="20"/>
          <w:szCs w:val="20"/>
          <w:color w:val="auto"/>
        </w:rPr>
      </w:pPr>
    </w:p>
    <w:tbl>
      <w:tblPr>
        <w:tblLayout w:type="fixed"/>
        <w:tblInd w:w="40" w:type="dxa"/>
        <w:tblCellMar>
          <w:top w:w="0" w:type="dxa"/>
          <w:left w:w="0" w:type="dxa"/>
          <w:bottom w:w="0" w:type="dxa"/>
          <w:right w:w="0" w:type="dxa"/>
        </w:tblCellMar>
      </w:tblPr>
      <w:tr>
        <w:trPr>
          <w:trHeight w:val="173"/>
        </w:trPr>
        <w:tc>
          <w:tcPr>
            <w:tcW w:w="676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14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42"/>
        </w:trPr>
        <w:tc>
          <w:tcPr>
            <w:tcW w:w="6760" w:type="dxa"/>
            <w:vAlign w:val="bottom"/>
            <w:tcBorders>
              <w:bottom w:val="single" w:sz="8" w:color="CCEEFF"/>
            </w:tcBorders>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0" w:type="dxa"/>
            <w:vAlign w:val="bottom"/>
            <w:tcBorders>
              <w:bottom w:val="single" w:sz="8" w:color="CCEEFF"/>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jc w:val="right"/>
              <w:ind w:right="25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0" w:type="dxa"/>
            <w:vAlign w:val="bottom"/>
          </w:tcPr>
          <w:p>
            <w:pPr>
              <w:spacing w:after="0"/>
              <w:rPr>
                <w:sz w:val="1"/>
                <w:szCs w:val="1"/>
                <w:color w:val="auto"/>
              </w:rPr>
            </w:pPr>
          </w:p>
        </w:tc>
      </w:tr>
      <w:tr>
        <w:trPr>
          <w:trHeight w:val="210"/>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179,662</w:t>
            </w: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91,900</w:t>
            </w:r>
          </w:p>
        </w:tc>
        <w:tc>
          <w:tcPr>
            <w:tcW w:w="0" w:type="dxa"/>
            <w:vAlign w:val="bottom"/>
          </w:tcPr>
          <w:p>
            <w:pPr>
              <w:spacing w:after="0"/>
              <w:rPr>
                <w:sz w:val="1"/>
                <w:szCs w:val="1"/>
                <w:color w:val="auto"/>
              </w:rPr>
            </w:pPr>
          </w:p>
        </w:tc>
      </w:tr>
      <w:tr>
        <w:trPr>
          <w:trHeight w:val="216"/>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8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(150,655)</w:t>
            </w: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(124,786)</w:t>
            </w:r>
          </w:p>
        </w:tc>
        <w:tc>
          <w:tcPr>
            <w:tcW w:w="0" w:type="dxa"/>
            <w:vAlign w:val="bottom"/>
          </w:tcPr>
          <w:p>
            <w:pPr>
              <w:spacing w:after="0"/>
              <w:rPr>
                <w:sz w:val="1"/>
                <w:szCs w:val="1"/>
                <w:color w:val="auto"/>
              </w:rPr>
            </w:pPr>
          </w:p>
        </w:tc>
      </w:tr>
      <w:tr>
        <w:trPr>
          <w:trHeight w:val="216"/>
        </w:trPr>
        <w:tc>
          <w:tcPr>
            <w:tcW w:w="6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(Used in)/Provided by Financing Activities</w:t>
            </w: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(29,916)</w:t>
            </w: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44,074</w:t>
            </w:r>
          </w:p>
        </w:tc>
        <w:tc>
          <w:tcPr>
            <w:tcW w:w="0" w:type="dxa"/>
            <w:vAlign w:val="bottom"/>
          </w:tcPr>
          <w:p>
            <w:pPr>
              <w:spacing w:after="0"/>
              <w:rPr>
                <w:sz w:val="1"/>
                <w:szCs w:val="1"/>
                <w:color w:val="auto"/>
              </w:rPr>
            </w:pPr>
          </w:p>
        </w:tc>
      </w:tr>
      <w:tr>
        <w:trPr>
          <w:trHeight w:val="210"/>
        </w:trPr>
        <w:tc>
          <w:tcPr>
            <w:tcW w:w="6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Change in Cash</w:t>
            </w: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(909)</w:t>
            </w:r>
          </w:p>
        </w:tc>
        <w:tc>
          <w:tcPr>
            <w:tcW w:w="20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11,188</w:t>
            </w:r>
          </w:p>
        </w:tc>
        <w:tc>
          <w:tcPr>
            <w:tcW w:w="0" w:type="dxa"/>
            <w:vAlign w:val="bottom"/>
          </w:tcPr>
          <w:p>
            <w:pPr>
              <w:spacing w:after="0"/>
              <w:rPr>
                <w:sz w:val="1"/>
                <w:szCs w:val="1"/>
                <w:color w:val="auto"/>
              </w:rPr>
            </w:pPr>
          </w:p>
        </w:tc>
      </w:tr>
      <w:tr>
        <w:trPr>
          <w:trHeight w:val="20"/>
        </w:trPr>
        <w:tc>
          <w:tcPr>
            <w:tcW w:w="67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Activities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operating cash flow is sensitive to many variables, the most significant of which are the volatility of prices for oil and natural gas and the volume of oil and natural gas sold by our producers. Any interim cash needs are funded by cash on hand, cash flows from operations or borrowings under our revolving credit facility.</w:t>
      </w:r>
    </w:p>
    <w:p>
      <w:pPr>
        <w:spacing w:after="0" w:line="176"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222222"/>
        </w:rPr>
        <w:t>Net cash provided by operating activities during the nine months ended September 30, 2022 was approximately $</w:t>
      </w:r>
      <w:r>
        <w:rPr>
          <w:rFonts w:ascii="Times New Roman" w:cs="Times New Roman" w:eastAsia="Times New Roman" w:hAnsi="Times New Roman"/>
          <w:sz w:val="18"/>
          <w:szCs w:val="18"/>
          <w:color w:val="000000"/>
        </w:rPr>
        <w:t>179,662</w:t>
      </w:r>
      <w:r>
        <w:rPr>
          <w:rFonts w:ascii="Times New Roman" w:cs="Times New Roman" w:eastAsia="Times New Roman" w:hAnsi="Times New Roman"/>
          <w:sz w:val="18"/>
          <w:szCs w:val="18"/>
          <w:color w:val="222222"/>
        </w:rPr>
        <w:t xml:space="preserve"> thousand, compared to approximately $</w:t>
      </w:r>
      <w:r>
        <w:rPr>
          <w:rFonts w:ascii="Times New Roman" w:cs="Times New Roman" w:eastAsia="Times New Roman" w:hAnsi="Times New Roman"/>
          <w:sz w:val="18"/>
          <w:szCs w:val="18"/>
          <w:color w:val="000000"/>
        </w:rPr>
        <w:t>91,900</w:t>
      </w:r>
      <w:r>
        <w:rPr>
          <w:rFonts w:ascii="Times New Roman" w:cs="Times New Roman" w:eastAsia="Times New Roman" w:hAnsi="Times New Roman"/>
          <w:sz w:val="18"/>
          <w:szCs w:val="18"/>
          <w:color w:val="222222"/>
        </w:rPr>
        <w:t xml:space="preserve"> thousand during the nine months ended September 30, 2021. The increase in net cash provided by operating activities primarily relates to a </w:t>
      </w:r>
      <w:r>
        <w:rPr>
          <w:rFonts w:ascii="Times New Roman" w:cs="Times New Roman" w:eastAsia="Times New Roman" w:hAnsi="Times New Roman"/>
          <w:sz w:val="18"/>
          <w:szCs w:val="18"/>
          <w:color w:val="000000"/>
        </w:rPr>
        <w:t>67</w:t>
      </w:r>
      <w:r>
        <w:rPr>
          <w:rFonts w:ascii="Times New Roman" w:cs="Times New Roman" w:eastAsia="Times New Roman" w:hAnsi="Times New Roman"/>
          <w:sz w:val="18"/>
          <w:szCs w:val="18"/>
          <w:color w:val="222222"/>
        </w:rPr>
        <w:t xml:space="preserve">% increase in realized prices (before the effects of derivatives) and a </w:t>
      </w:r>
      <w:r>
        <w:rPr>
          <w:rFonts w:ascii="Times New Roman" w:cs="Times New Roman" w:eastAsia="Times New Roman" w:hAnsi="Times New Roman"/>
          <w:sz w:val="18"/>
          <w:szCs w:val="18"/>
          <w:color w:val="000000"/>
        </w:rPr>
        <w:t>10</w:t>
      </w:r>
      <w:r>
        <w:rPr>
          <w:rFonts w:ascii="Times New Roman" w:cs="Times New Roman" w:eastAsia="Times New Roman" w:hAnsi="Times New Roman"/>
          <w:sz w:val="18"/>
          <w:szCs w:val="18"/>
          <w:color w:val="222222"/>
        </w:rPr>
        <w:t>% increase in production period over period. Working capital changes during the nine months ended September 30, 2022 included an increase of approximately $</w:t>
      </w:r>
      <w:r>
        <w:rPr>
          <w:rFonts w:ascii="Times New Roman" w:cs="Times New Roman" w:eastAsia="Times New Roman" w:hAnsi="Times New Roman"/>
          <w:sz w:val="18"/>
          <w:szCs w:val="18"/>
          <w:color w:val="000000"/>
        </w:rPr>
        <w:t>21,627</w:t>
      </w:r>
      <w:r>
        <w:rPr>
          <w:rFonts w:ascii="Times New Roman" w:cs="Times New Roman" w:eastAsia="Times New Roman" w:hAnsi="Times New Roman"/>
          <w:sz w:val="18"/>
          <w:szCs w:val="18"/>
          <w:color w:val="222222"/>
        </w:rPr>
        <w:t xml:space="preserve"> thousand in revenue receivables related to increased realized oil prices (before the effects of derivatives) and increased production from development drilling. Working capital changes during the nine months ended September 30, 2021 included an increase of approximately $</w:t>
      </w:r>
      <w:r>
        <w:rPr>
          <w:rFonts w:ascii="Times New Roman" w:cs="Times New Roman" w:eastAsia="Times New Roman" w:hAnsi="Times New Roman"/>
          <w:sz w:val="18"/>
          <w:szCs w:val="18"/>
          <w:color w:val="000000"/>
        </w:rPr>
        <w:t>22,941</w:t>
      </w:r>
      <w:r>
        <w:rPr>
          <w:rFonts w:ascii="Times New Roman" w:cs="Times New Roman" w:eastAsia="Times New Roman" w:hAnsi="Times New Roman"/>
          <w:sz w:val="18"/>
          <w:szCs w:val="18"/>
          <w:color w:val="222222"/>
        </w:rPr>
        <w:t xml:space="preserve"> thousand in revenue receivables related to increased production, resulting from development drilling, as well as increased realized commodity prices (before the effects of derivatives), as commodity prices recovered from their historic lows in 2020 as a result of COVID-19</w:t>
      </w:r>
      <w:r>
        <w:rPr>
          <w:rFonts w:ascii="Times New Roman" w:cs="Times New Roman" w:eastAsia="Times New Roman" w:hAnsi="Times New Roman"/>
          <w:sz w:val="18"/>
          <w:szCs w:val="18"/>
          <w:color w:val="000000"/>
        </w:rPr>
        <w:t>.</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5" w:name="page36"/>
    <w:bookmarkEnd w:id="35"/>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Investing Activities</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231F20"/>
        </w:rPr>
        <w:t>We had cash flows used in investing activities of approximately $</w:t>
      </w:r>
      <w:r>
        <w:rPr>
          <w:rFonts w:ascii="Times New Roman" w:cs="Times New Roman" w:eastAsia="Times New Roman" w:hAnsi="Times New Roman"/>
          <w:sz w:val="18"/>
          <w:szCs w:val="18"/>
          <w:color w:val="000000"/>
        </w:rPr>
        <w:t>150,655</w:t>
      </w:r>
      <w:r>
        <w:rPr>
          <w:rFonts w:ascii="Times New Roman" w:cs="Times New Roman" w:eastAsia="Times New Roman" w:hAnsi="Times New Roman"/>
          <w:sz w:val="18"/>
          <w:szCs w:val="18"/>
          <w:color w:val="231F20"/>
        </w:rPr>
        <w:t xml:space="preserve"> thousand and approximately $</w:t>
      </w:r>
      <w:r>
        <w:rPr>
          <w:rFonts w:ascii="Times New Roman" w:cs="Times New Roman" w:eastAsia="Times New Roman" w:hAnsi="Times New Roman"/>
          <w:sz w:val="18"/>
          <w:szCs w:val="18"/>
          <w:color w:val="000000"/>
        </w:rPr>
        <w:t>124,786</w:t>
      </w:r>
      <w:r>
        <w:rPr>
          <w:rFonts w:ascii="Times New Roman" w:cs="Times New Roman" w:eastAsia="Times New Roman" w:hAnsi="Times New Roman"/>
          <w:sz w:val="18"/>
          <w:szCs w:val="18"/>
          <w:color w:val="231F20"/>
        </w:rPr>
        <w:t xml:space="preserve"> thousand during the nine months ended September 30, 2022 and 2021, respectively, primarily as a result of the development of proved oil and natural gas properties and acquisitions in the first nine months of 2022 and 2021</w:t>
      </w:r>
      <w:r>
        <w:rPr>
          <w:rFonts w:ascii="Times New Roman" w:cs="Times New Roman" w:eastAsia="Times New Roman" w:hAnsi="Times New Roman"/>
          <w:sz w:val="18"/>
          <w:szCs w:val="18"/>
          <w:color w:val="000000"/>
        </w:rPr>
        <w:t>.</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Financing Activities</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231F20"/>
        </w:rPr>
        <w:t>Net cash used in financing activities was approximately $</w:t>
      </w:r>
      <w:r>
        <w:rPr>
          <w:rFonts w:ascii="Times New Roman" w:cs="Times New Roman" w:eastAsia="Times New Roman" w:hAnsi="Times New Roman"/>
          <w:sz w:val="18"/>
          <w:szCs w:val="18"/>
          <w:color w:val="000000"/>
        </w:rPr>
        <w:t>29,916 thousand for the nine months ended September 30, 2022.</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Net cash provided by financing activities was </w:t>
      </w:r>
      <w:r>
        <w:rPr>
          <w:rFonts w:ascii="Times New Roman" w:cs="Times New Roman" w:eastAsia="Times New Roman" w:hAnsi="Times New Roman"/>
          <w:sz w:val="18"/>
          <w:szCs w:val="18"/>
          <w:color w:val="231F20"/>
        </w:rPr>
        <w:t>approximately $</w:t>
      </w:r>
      <w:r>
        <w:rPr>
          <w:rFonts w:ascii="Times New Roman" w:cs="Times New Roman" w:eastAsia="Times New Roman" w:hAnsi="Times New Roman"/>
          <w:sz w:val="18"/>
          <w:szCs w:val="18"/>
          <w:color w:val="000000"/>
        </w:rPr>
        <w:t xml:space="preserve">44,074 </w:t>
      </w:r>
      <w:r>
        <w:rPr>
          <w:rFonts w:ascii="Times New Roman" w:cs="Times New Roman" w:eastAsia="Times New Roman" w:hAnsi="Times New Roman"/>
          <w:sz w:val="18"/>
          <w:szCs w:val="18"/>
          <w:color w:val="231F20"/>
        </w:rPr>
        <w:t>thousand for the nine months ended September 30,</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2021. The cash used in financing activities in the nine months ended September 30, 2022 was primarily related to net borrowings, as opposed to a combination of partners’ contributions and net borrowings during the nine months ended September 30, 2021</w:t>
      </w:r>
      <w:r>
        <w:rPr>
          <w:rFonts w:ascii="Times New Roman" w:cs="Times New Roman" w:eastAsia="Times New Roman" w:hAnsi="Times New Roman"/>
          <w:sz w:val="18"/>
          <w:szCs w:val="18"/>
          <w:color w:val="000000"/>
        </w:rPr>
        <w: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Revolving Credit Facility</w:t>
      </w:r>
    </w:p>
    <w:p>
      <w:pPr>
        <w:spacing w:after="0" w:line="229"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231F20"/>
        </w:rPr>
        <w:t>In October 2018, we entered into a revolving credit facility with an initial borrowing capacity of $0. Through a series of amendments, as of September 30, 2022, the borrowing base was raised to $</w:t>
      </w:r>
      <w:r>
        <w:rPr>
          <w:rFonts w:ascii="Times New Roman" w:cs="Times New Roman" w:eastAsia="Times New Roman" w:hAnsi="Times New Roman"/>
          <w:sz w:val="18"/>
          <w:szCs w:val="18"/>
          <w:color w:val="000000"/>
        </w:rPr>
        <w:t>100,000</w:t>
      </w:r>
      <w:r>
        <w:rPr>
          <w:rFonts w:ascii="Times New Roman" w:cs="Times New Roman" w:eastAsia="Times New Roman" w:hAnsi="Times New Roman"/>
          <w:sz w:val="18"/>
          <w:szCs w:val="18"/>
          <w:color w:val="231F20"/>
        </w:rPr>
        <w:t xml:space="preserve"> thousand with no balance outstanding. From December 31, 2021 through September 30, 2022, there were no amendments to the revolving credit facility</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231F20"/>
        </w:rPr>
        <w:t xml:space="preserve"> On October 24, 2022, the revolving credit facility was terminated and Granite Ridge entered into a new revolving credit agreement. See Note 11 to our condensed combined unaudited financial statements appearing elsewhere in this report.</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Known Contractual and Other Obligations; Planned Capital Expenditures</w:t>
      </w:r>
    </w:p>
    <w:p>
      <w:pPr>
        <w:spacing w:after="0" w:line="227"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Contractual and Other Obligations</w:t>
      </w:r>
    </w:p>
    <w:p>
      <w:pPr>
        <w:spacing w:after="0" w:line="227"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As of September 30, 2022, we had repaid our contractual commitments under our revolving credit facility which included periodic interest payments. See Note 9 to our condensed combined unaudited financial statements appearing elsewhere in this report. We have contractual commitments that may require us to make payments upon future settlement of our commodity derivative contracts. See Note 3 to our condensed combined unaudited financial statements appearing elsewhere in this report. We have future obligations related to the abandonment of our oil and natural gas properties. See Note 6 to our combined audited financial statements included in our Registration Statement on Form S-4/A filed with the SEC on September 12, 2022. With respect to all of these items, except for our commitments under our debt agreements, we cannot determine with accuracy the amount and/or timing of such payments.</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i w:val="1"/>
          <w:iCs w:val="1"/>
          <w:color w:val="auto"/>
        </w:rPr>
        <w:t>Planned Capital Expenditures</w:t>
      </w:r>
    </w:p>
    <w:p>
      <w:pPr>
        <w:spacing w:after="0" w:line="227"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For the remainder of 2022, we are budgeting approximately $</w:t>
      </w:r>
      <w:r>
        <w:rPr>
          <w:rFonts w:ascii="Times New Roman" w:cs="Times New Roman" w:eastAsia="Times New Roman" w:hAnsi="Times New Roman"/>
          <w:sz w:val="16"/>
          <w:szCs w:val="16"/>
          <w:color w:val="auto"/>
        </w:rPr>
        <w:t>50,000</w:t>
      </w:r>
      <w:r>
        <w:rPr>
          <w:rFonts w:ascii="Times New Roman" w:cs="Times New Roman" w:eastAsia="Times New Roman" w:hAnsi="Times New Roman"/>
          <w:sz w:val="18"/>
          <w:szCs w:val="18"/>
          <w:color w:val="auto"/>
        </w:rPr>
        <w:t xml:space="preserve"> thousand in total planned capital expenditures. As of September 30, 2022, we had incurred approximately $15,757 thousand in capital expenditures that were included in accounts payable, and we estimate that we were committed to an additional approximately $</w:t>
      </w:r>
      <w:r>
        <w:rPr>
          <w:rFonts w:ascii="Times New Roman" w:cs="Times New Roman" w:eastAsia="Times New Roman" w:hAnsi="Times New Roman"/>
          <w:sz w:val="16"/>
          <w:szCs w:val="16"/>
          <w:color w:val="auto"/>
        </w:rPr>
        <w:t>50,000</w:t>
      </w:r>
      <w:r>
        <w:rPr>
          <w:rFonts w:ascii="Times New Roman" w:cs="Times New Roman" w:eastAsia="Times New Roman" w:hAnsi="Times New Roman"/>
          <w:sz w:val="18"/>
          <w:szCs w:val="18"/>
          <w:color w:val="auto"/>
        </w:rPr>
        <w:t xml:space="preserve"> thousand in development capital expenditures not yet incurred for wells we had elected to participate in. We expect to fund planned capital expenditures with cash generated from operations and, if required, borrowings under the new revolving credit facility entered into by Granite Ridge subsequent to September 30, 2022.</w:t>
      </w:r>
    </w:p>
    <w:p>
      <w:pPr>
        <w:spacing w:after="0" w:line="187" w:lineRule="exact"/>
        <w:rPr>
          <w:sz w:val="20"/>
          <w:szCs w:val="20"/>
          <w:color w:val="auto"/>
        </w:rPr>
      </w:pPr>
    </w:p>
    <w:p>
      <w:pPr>
        <w:jc w:val="both"/>
        <w:ind w:left="60" w:right="59"/>
        <w:spacing w:after="0" w:line="274" w:lineRule="auto"/>
        <w:rPr>
          <w:sz w:val="20"/>
          <w:szCs w:val="20"/>
          <w:color w:val="auto"/>
        </w:rPr>
      </w:pPr>
      <w:r>
        <w:rPr>
          <w:rFonts w:ascii="Times New Roman" w:cs="Times New Roman" w:eastAsia="Times New Roman" w:hAnsi="Times New Roman"/>
          <w:sz w:val="17"/>
          <w:szCs w:val="17"/>
          <w:color w:val="auto"/>
        </w:rPr>
        <w:t>The amount, timing and allocation of capital expenditures are largely discretionary and subject to change based on a variety of factors. If oil and natural gas prices decline below our acceptable levels, or costs increase above our acceptable levels, we may choose to defer a portion of our budgeted capital expenditures until later periods to achieve the desired balance between sources and uses of liquidity and prioritize capital projects that we believe have the highest expected returns and potential to generate near-term cash flow. We may also increase our capital expenditures significantly to take advantage of opportunities we consider to be attractive. We will carefully monitor and may adjust our projected capital expenditures</w:t>
      </w:r>
    </w:p>
    <w:p>
      <w:pPr>
        <w:spacing w:after="0" w:line="3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6" w:name="page37"/>
    <w:bookmarkEnd w:id="36"/>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in response to changes in prices, availability of financing, drilling and acquisition costs, industry conditions, the timing of regulatory approvals, contractual obligations, internally generated cash flow and other factors both within and outside our control. For additional information on the impact of changing prices and market conditions on our financial position, see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Capital Requirements</w:t>
      </w:r>
    </w:p>
    <w:p>
      <w:pPr>
        <w:spacing w:after="0" w:line="22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auto"/>
        </w:rPr>
        <w:t>Development activities are discretionary, and, for the near term, we expect such activities to be maintained at levels we can fund through cash on hand, internal cash flow and borrowings under the new revolving credit facility entered into by Granite Ridge subsequent to September 30, 2022. To the extent capital requirements exceed internal cash flow and borrowing capacity under such revolving credit facility, additional financings from the capital markets may be pursued to fund these requirements. We monitor our capital expenditures on a regular basis, adjusting the amount up or down and also between our projects, depending on commodity prices, cash flow and projected returns. Also, our obligations may change due to acquisitions, divestitures and continued growth. Our future success in growing proved reserves and production may be dependent on our ability to access outside sources of capital. If internally generated cash flow and borrowing capacity is not available under our revolving credit facility, we may issue additional debt to fund capital expenditures, acquisitions, extend maturities or to repay debt.</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Satisfaction of Our Cash Obligations for the Next Twelve Months</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With the new revolving credit agreement entered into by Granite Ridge subsequent to September 30, 2022 and our positive cash flows from operations, we believe we will have sufficient capital to meet our drilling commitments, expected general and administrative expenses and other cash needs for the next twelve months. Nonetheless, any strategic acquisition of assets or increase in drilling activity may lead us to seek additional capital. We may also choose to seek additional capital rather than utilize our credit to fund accelerated or continued drilling at the discretion of management and depending on prevailing market conditions. We will evaluate any potential opportunities for acquisitions as they arise. However, there can be no assurance that any additional capital will be available to us on favorable terms or at all.</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 and Pricing</w:t>
      </w:r>
    </w:p>
    <w:p>
      <w:pPr>
        <w:spacing w:after="0" w:line="229" w:lineRule="exact"/>
        <w:rPr>
          <w:sz w:val="20"/>
          <w:szCs w:val="20"/>
          <w:color w:val="auto"/>
        </w:rPr>
      </w:pPr>
    </w:p>
    <w:p>
      <w:pPr>
        <w:jc w:val="both"/>
        <w:ind w:left="60" w:right="79"/>
        <w:spacing w:after="0" w:line="261" w:lineRule="auto"/>
        <w:rPr>
          <w:sz w:val="20"/>
          <w:szCs w:val="20"/>
          <w:color w:val="auto"/>
        </w:rPr>
      </w:pPr>
      <w:r>
        <w:rPr>
          <w:rFonts w:ascii="Times New Roman" w:cs="Times New Roman" w:eastAsia="Times New Roman" w:hAnsi="Times New Roman"/>
          <w:sz w:val="18"/>
          <w:szCs w:val="18"/>
          <w:color w:val="auto"/>
        </w:rPr>
        <w:t>The oil and natural gas industry is typically very cyclical and the demand for goods and services of oil field companies, suppliers and others associated with the industry put extreme pressure on the economic stability and pricing structure within the industry. Typically, as prices for oil and natural gas increase, so do all associated costs. Conversely, in a period of declining prices, associated cost declines are likely to lag and may not adjust downward in proportion.</w:t>
      </w:r>
    </w:p>
    <w:p>
      <w:pPr>
        <w:spacing w:after="0" w:line="180"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Material changes in prices also impact our current revenue stream, estimates of future reserves, borrowing base calculations of bank loans, impairment assessments of oil and natural gas properties, and values of properties in purchase and sale transactions. Material changes in prices can impact the value of oil and natural gas companies and their ability to raise capital, borrow money and retain personnel. Higher prices for oil and natural gas could result in increases in the costs of materials, services and personnel.</w:t>
      </w:r>
    </w:p>
    <w:p>
      <w:pPr>
        <w:spacing w:after="0" w:line="17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Critical Accounting Estimates</w:t>
      </w:r>
    </w:p>
    <w:p>
      <w:pPr>
        <w:spacing w:after="0" w:line="229"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Our critical accounting policies involving significant estimates include the estimation of proved oil and natural gas reserves, impairment testing, derivative instruments and hedging activity and asset retirement obligations. There were no material changes in our critical accounting policies involving significant estimates from those reported in our Registration Statement on Form S-4/A filed with the SEC on September 12, 2022.</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7" w:name="page38"/>
    <w:bookmarkEnd w:id="37"/>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7" w:lineRule="exact"/>
        <w:rPr>
          <w:sz w:val="20"/>
          <w:szCs w:val="20"/>
          <w:color w:val="auto"/>
        </w:rPr>
      </w:pPr>
    </w:p>
    <w:p>
      <w:pPr>
        <w:jc w:val="both"/>
        <w:ind w:left="60" w:right="59" w:firstLine="324"/>
        <w:spacing w:after="0" w:line="267" w:lineRule="auto"/>
        <w:rPr>
          <w:sz w:val="20"/>
          <w:szCs w:val="20"/>
          <w:color w:val="auto"/>
        </w:rPr>
      </w:pPr>
      <w:r>
        <w:rPr>
          <w:rFonts w:ascii="Times New Roman" w:cs="Times New Roman" w:eastAsia="Times New Roman" w:hAnsi="Times New Roman"/>
          <w:sz w:val="18"/>
          <w:szCs w:val="18"/>
          <w:color w:val="auto"/>
        </w:rPr>
        <w:t>A description of our critical accounting policies was provided in the section titled “</w:t>
      </w:r>
      <w:r>
        <w:rPr>
          <w:rFonts w:ascii="Times New Roman" w:cs="Times New Roman" w:eastAsia="Times New Roman" w:hAnsi="Times New Roman"/>
          <w:sz w:val="18"/>
          <w:szCs w:val="18"/>
          <w:i w:val="1"/>
          <w:iCs w:val="1"/>
          <w:color w:val="auto"/>
        </w:rPr>
        <w:t>Grey Rock’s Management’s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 of Financial Condition and Results of Operations – Liquidity and Capital Resources – Fund I, II and III</w:t>
      </w:r>
      <w:r>
        <w:rPr>
          <w:rFonts w:ascii="Times New Roman" w:cs="Times New Roman" w:eastAsia="Times New Roman" w:hAnsi="Times New Roman"/>
          <w:sz w:val="18"/>
          <w:szCs w:val="18"/>
          <w:color w:val="auto"/>
        </w:rPr>
        <w:t>” of our Registration Statement on Form S-4/A filed with the SEC on September 12, 2022.</w:t>
      </w:r>
    </w:p>
    <w:p>
      <w:pPr>
        <w:spacing w:after="0" w:line="17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 About Market Risk.</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29" w:lineRule="exact"/>
        <w:rPr>
          <w:sz w:val="20"/>
          <w:szCs w:val="20"/>
          <w:color w:val="auto"/>
        </w:rPr>
      </w:pPr>
    </w:p>
    <w:p>
      <w:pPr>
        <w:jc w:val="both"/>
        <w:ind w:left="60" w:right="59"/>
        <w:spacing w:after="0" w:line="254" w:lineRule="auto"/>
        <w:rPr>
          <w:sz w:val="20"/>
          <w:szCs w:val="20"/>
          <w:color w:val="auto"/>
        </w:rPr>
      </w:pPr>
      <w:r>
        <w:rPr>
          <w:rFonts w:ascii="Times New Roman" w:cs="Times New Roman" w:eastAsia="Times New Roman" w:hAnsi="Times New Roman"/>
          <w:sz w:val="18"/>
          <w:szCs w:val="18"/>
          <w:color w:val="auto"/>
        </w:rPr>
        <w:t>The price we receive for our oil and natural gas production heavily influences our revenue, profitability, access to capital and future rate of growth. Oil and natural gas are commodities and, therefore, their prices are subject to wide fluctuations in response to relatively minor changes in supply and demand and other factors. Historically, the markets for oil and natural gas have been volatile, and we believe these markets will likely continue to be volatile in the future. The prices we receive for our production depend on numerous factors beyond our control. Our revenue generally would have increased or decreased along with any increases or decreases in oil or natural gas prices, but the exact impact on our income is indeterminable given the variety of expenses associated with producing and selling oil that also increase and decrease along with oil and natural gas prices.</w:t>
      </w:r>
    </w:p>
    <w:p>
      <w:pPr>
        <w:spacing w:after="0" w:line="192" w:lineRule="exact"/>
        <w:rPr>
          <w:sz w:val="20"/>
          <w:szCs w:val="20"/>
          <w:color w:val="auto"/>
        </w:rPr>
      </w:pPr>
    </w:p>
    <w:p>
      <w:pPr>
        <w:jc w:val="both"/>
        <w:ind w:left="60" w:right="59"/>
        <w:spacing w:after="0" w:line="258" w:lineRule="auto"/>
        <w:rPr>
          <w:sz w:val="20"/>
          <w:szCs w:val="20"/>
          <w:color w:val="auto"/>
        </w:rPr>
      </w:pPr>
      <w:r>
        <w:rPr>
          <w:rFonts w:ascii="Times New Roman" w:cs="Times New Roman" w:eastAsia="Times New Roman" w:hAnsi="Times New Roman"/>
          <w:sz w:val="18"/>
          <w:szCs w:val="18"/>
          <w:color w:val="auto"/>
        </w:rPr>
        <w:t>We enter into derivative contracts to achieve a more predictable cash flow by reducing our exposure to commodity price volatility. All derivative positions are carried at their fair value on the balance sheet and are marked-to-market at the end of each period. Any realized gains and losses on settled derivatives, as well as mark-to-market gains or losses, are aggregated and recorded to gain (loss) on derivative contracts on the statements of operations rather than as a component of other comprehensive income or other income (expense).</w:t>
      </w:r>
    </w:p>
    <w:p>
      <w:pPr>
        <w:spacing w:after="0" w:line="183" w:lineRule="exact"/>
        <w:rPr>
          <w:sz w:val="20"/>
          <w:szCs w:val="20"/>
          <w:color w:val="auto"/>
        </w:rPr>
      </w:pPr>
    </w:p>
    <w:p>
      <w:pPr>
        <w:jc w:val="both"/>
        <w:ind w:left="60" w:right="59"/>
        <w:spacing w:after="0" w:line="261" w:lineRule="auto"/>
        <w:rPr>
          <w:sz w:val="20"/>
          <w:szCs w:val="20"/>
          <w:color w:val="auto"/>
        </w:rPr>
      </w:pPr>
      <w:r>
        <w:rPr>
          <w:rFonts w:ascii="Times New Roman" w:cs="Times New Roman" w:eastAsia="Times New Roman" w:hAnsi="Times New Roman"/>
          <w:sz w:val="18"/>
          <w:szCs w:val="18"/>
          <w:color w:val="auto"/>
        </w:rPr>
        <w:t>We generally use derivatives to economically hedge a significant, but varying portion of our anticipated future production. Any payments due to counterparties under our derivative contracts are funded by proceeds received from the sale of our production. Production receipts, however, lag payments to the counterparties. Any interim cash needs are funded by cash from operations or borrowings under our new revolving credit facility.</w:t>
      </w:r>
    </w:p>
    <w:p>
      <w:pPr>
        <w:spacing w:after="0" w:line="17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left="60" w:right="59"/>
        <w:spacing w:after="0" w:line="255" w:lineRule="auto"/>
        <w:rPr>
          <w:sz w:val="20"/>
          <w:szCs w:val="20"/>
          <w:color w:val="auto"/>
        </w:rPr>
      </w:pPr>
      <w:r>
        <w:rPr>
          <w:rFonts w:ascii="Times New Roman" w:cs="Times New Roman" w:eastAsia="Times New Roman" w:hAnsi="Times New Roman"/>
          <w:sz w:val="18"/>
          <w:szCs w:val="18"/>
          <w:color w:val="auto"/>
        </w:rPr>
        <w:t>At September 30, 2022, we did not have any debt outstanding. At December 31, 2021, we had approximately $29,938 thousand of debt outstanding, which bears interest at a floating rate. Based on the approximately $29,938 thousand in floating rate debt we had outstanding as of December 31, 2021, a 1% increase or decrease in the weighted average interest rate would have resulted in an increase or decrease, respectively, of approximately $299 thousand in interest expense per year. We do not currently have any derivative arrangements to protect against fluctuations in interest rates applicable to our variable rate indebtedness but may enter into such derivative arrangements in the future. To the extent we enter into any such interest rate derivative arrangement, we would subject to risk for financial loss.</w:t>
      </w:r>
    </w:p>
    <w:p>
      <w:pPr>
        <w:spacing w:after="0" w:line="18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r>
        <w:rPr>
          <w:rFonts w:ascii="Times New Roman" w:cs="Times New Roman" w:eastAsia="Times New Roman" w:hAnsi="Times New Roman"/>
          <w:sz w:val="18"/>
          <w:szCs w:val="18"/>
          <w:b w:val="1"/>
          <w:bCs w:val="1"/>
          <w:color w:val="auto"/>
        </w:rPr>
        <w:t>.</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31F20"/>
        </w:rPr>
        <w:t>Disclosure Controls and Procedures</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231F20"/>
        </w:rPr>
        <w:t>Disclosure controls and procedures are controls and other procedures that are designed to ensure that information required to be disclosed in our reports filed or submitted under the Exchange Act is recorded, processed, summarized and reported within the time periods specified in the SEC’s rules and forms. Disclosure controls and procedures include, without limitation, controls and procedures designed to ensure that information required to be disclosed in company reports filed or submitted under the Exchange Act is accumulated and communicated to management, including our Chief Executive Officer and Chief Financial Officer, to allow timely decisions regarding required disclosure.</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8" w:name="page39"/>
    <w:bookmarkEnd w:id="38"/>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9" w:lineRule="exact"/>
        <w:rPr>
          <w:sz w:val="20"/>
          <w:szCs w:val="20"/>
          <w:color w:val="auto"/>
        </w:rPr>
      </w:pPr>
    </w:p>
    <w:p>
      <w:pPr>
        <w:jc w:val="both"/>
        <w:ind w:left="60" w:right="59"/>
        <w:spacing w:after="0" w:line="253" w:lineRule="auto"/>
        <w:rPr>
          <w:sz w:val="20"/>
          <w:szCs w:val="20"/>
          <w:color w:val="auto"/>
        </w:rPr>
      </w:pPr>
      <w:r>
        <w:rPr>
          <w:rFonts w:ascii="Times New Roman" w:cs="Times New Roman" w:eastAsia="Times New Roman" w:hAnsi="Times New Roman"/>
          <w:sz w:val="18"/>
          <w:szCs w:val="18"/>
          <w:color w:val="231F20"/>
        </w:rPr>
        <w:t xml:space="preserve">Our management is responsible for establishing and maintaining adequate internal control over our financial reporting. As discussed elsewhere in this Quarterly Report on Form 10-Q, we completed the Business Combination on October 24, 2022. Prior to the Business Combination, Granite Ridge Resources, Inc. was a privately held company with no operations, formed to be the successor following the Business Combination, and therefore its controls were not required to be designed or maintained in accordance with Exchange Act Rule 13a-15. Grey Rock Energy Fund III is the predecessor to Granite Ridge Resources, Inc. The design of public company disclosure controls and procedures and internal controls over financial reporting for the Company following the Business Combination has required and will continue to require significant time and resources from our management and other personnel. Furthermore, Executive Network Partnering Corporation, the legal acquirer in the Business Combination, was a non-operating public shell company prior to the Business Combination, and as such the disclosure controls and procedures and internal controls of </w:t>
      </w:r>
      <w:r>
        <w:rPr>
          <w:rFonts w:ascii="Times New Roman" w:cs="Times New Roman" w:eastAsia="Times New Roman" w:hAnsi="Times New Roman"/>
          <w:sz w:val="18"/>
          <w:szCs w:val="18"/>
          <w:color w:val="000000"/>
        </w:rPr>
        <w:t>Executive Network</w:t>
      </w:r>
      <w:r>
        <w:rPr>
          <w:rFonts w:ascii="Times New Roman" w:cs="Times New Roman" w:eastAsia="Times New Roman" w:hAnsi="Times New Roman"/>
          <w:sz w:val="18"/>
          <w:szCs w:val="18"/>
          <w:color w:val="231F20"/>
        </w:rPr>
        <w:t xml:space="preserve"> </w:t>
      </w:r>
      <w:r>
        <w:rPr>
          <w:rFonts w:ascii="Times New Roman" w:cs="Times New Roman" w:eastAsia="Times New Roman" w:hAnsi="Times New Roman"/>
          <w:sz w:val="18"/>
          <w:szCs w:val="18"/>
          <w:color w:val="000000"/>
        </w:rPr>
        <w:t xml:space="preserve">Partnering Corporation </w:t>
      </w:r>
      <w:r>
        <w:rPr>
          <w:rFonts w:ascii="Times New Roman" w:cs="Times New Roman" w:eastAsia="Times New Roman" w:hAnsi="Times New Roman"/>
          <w:sz w:val="18"/>
          <w:szCs w:val="18"/>
          <w:color w:val="231F20"/>
        </w:rPr>
        <w:t>no longer exist as of the assessment date. As a result, management evaluated our disclosure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231F20"/>
        </w:rPr>
        <w:t>controls and procedures as of September 30, 2022, but was unable, without incurring unreasonable effort or expense, to conclude whether our disclosure controls and procedures were effective as of September 30, 2022.</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i w:val="1"/>
          <w:iCs w:val="1"/>
          <w:color w:val="231F20"/>
        </w:rPr>
        <w:t>Changes in Internal Control over Financial Reporting</w:t>
      </w:r>
    </w:p>
    <w:p>
      <w:pPr>
        <w:spacing w:after="0" w:line="229" w:lineRule="exact"/>
        <w:rPr>
          <w:sz w:val="20"/>
          <w:szCs w:val="20"/>
          <w:color w:val="auto"/>
        </w:rPr>
      </w:pPr>
    </w:p>
    <w:p>
      <w:pPr>
        <w:ind w:left="60" w:right="99"/>
        <w:spacing w:after="0" w:line="253" w:lineRule="auto"/>
        <w:rPr>
          <w:sz w:val="20"/>
          <w:szCs w:val="20"/>
          <w:color w:val="auto"/>
        </w:rPr>
      </w:pPr>
      <w:r>
        <w:rPr>
          <w:rFonts w:ascii="Times New Roman" w:cs="Times New Roman" w:eastAsia="Times New Roman" w:hAnsi="Times New Roman"/>
          <w:sz w:val="18"/>
          <w:szCs w:val="18"/>
          <w:color w:val="auto"/>
        </w:rPr>
        <w:t>As described above, the design and implementation of internal control over financial reporting for the Company following the Business Combination has required and will continue to require significant time and resources from management and other personnel. In preparation for the Business Combination, we have been engaged in the process of the design and implementation of our internal control over financial reporting in a manner commensurate with the scale of our operations post-Business Combination. Changes that have been implemented leading up to and since the time of the Business Combination have included, among other things, the addition of entity level controls, appointment of an Audit Committee, adoption of committee charters and various governance policies, and establishment of an internal audit function. Except as described above, there were no changes in our internal control over financial reporting (as such term is defined in Rules 13a-15(f) and 15d-15(f) of the Exchange Act) during the most recent fiscal quarter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39" w:name="page40"/>
    <w:bookmarkEnd w:id="39"/>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0" w:right="59"/>
        <w:spacing w:after="0" w:line="266" w:lineRule="auto"/>
        <w:rPr>
          <w:sz w:val="20"/>
          <w:szCs w:val="20"/>
          <w:color w:val="auto"/>
        </w:rPr>
      </w:pPr>
      <w:r>
        <w:rPr>
          <w:rFonts w:ascii="Times New Roman" w:cs="Times New Roman" w:eastAsia="Times New Roman" w:hAnsi="Times New Roman"/>
          <w:sz w:val="18"/>
          <w:szCs w:val="18"/>
          <w:color w:val="auto"/>
        </w:rPr>
        <w:t>Our Company was not a party to any material legal proceedings during the quarterly period ended September 30, 2022. In the future, the Company may be subject from time to time to litigation claims and governmental and regulatory proceedings arising in the ordinary course of business.</w:t>
      </w:r>
    </w:p>
    <w:p>
      <w:pPr>
        <w:spacing w:after="0" w:line="17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jc w:val="both"/>
        <w:ind w:left="60" w:right="59"/>
        <w:spacing w:after="0" w:line="256" w:lineRule="auto"/>
        <w:rPr>
          <w:sz w:val="20"/>
          <w:szCs w:val="20"/>
          <w:color w:val="auto"/>
        </w:rPr>
      </w:pPr>
      <w:r>
        <w:rPr>
          <w:rFonts w:ascii="Times New Roman" w:cs="Times New Roman" w:eastAsia="Times New Roman" w:hAnsi="Times New Roman"/>
          <w:sz w:val="18"/>
          <w:szCs w:val="18"/>
          <w:color w:val="auto"/>
        </w:rPr>
        <w:t>In addition to the information set forth in this report, the risks that are discussed in the Registration Statement on Form S-4/A filed with the SEC on September 12, 2022 (the “Registration Statement”), under the headings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Business of Grey Rock</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Grey Rock’s Management’s Discussion and Analysis of Financial Condition and Results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Operations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should be carefully considered, as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risks could materially affect our business, financial condition or future results. There have been no material changes to the risk factors disclosed in the Registration Statement.</w:t>
      </w:r>
    </w:p>
    <w:p>
      <w:pPr>
        <w:spacing w:after="0" w:line="18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Defaults Upon Senior Securities.</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Mine Safety Disclosures</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b w:val="1"/>
          <w:bCs w:val="1"/>
          <w:color w:val="auto"/>
        </w:rPr>
        <w:t xml:space="preserve">Item 5. </w:t>
      </w:r>
      <w:r>
        <w:rPr>
          <w:rFonts w:ascii="Times New Roman" w:cs="Times New Roman" w:eastAsia="Times New Roman" w:hAnsi="Times New Roman"/>
          <w:sz w:val="18"/>
          <w:szCs w:val="18"/>
          <w:b w:val="1"/>
          <w:bCs w:val="1"/>
          <w:i w:val="1"/>
          <w:iCs w:val="1"/>
          <w:color w:val="auto"/>
        </w:rPr>
        <w:t>Other Information</w:t>
      </w:r>
      <w:r>
        <w:rPr>
          <w:rFonts w:ascii="Times New Roman" w:cs="Times New Roman" w:eastAsia="Times New Roman" w:hAnsi="Times New Roman"/>
          <w:sz w:val="18"/>
          <w:szCs w:val="18"/>
          <w:b w:val="1"/>
          <w:bCs w:val="1"/>
          <w:color w:val="auto"/>
        </w:rPr>
        <w:t>.</w:t>
      </w:r>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None.</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0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146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r>
              <w:rPr>
                <w:rFonts w:ascii="Times New Roman" w:cs="Times New Roman" w:eastAsia="Times New Roman" w:hAnsi="Times New Roman"/>
                <w:sz w:val="18"/>
                <w:szCs w:val="18"/>
                <w:b w:val="1"/>
                <w:bCs w:val="1"/>
                <w:color w:val="auto"/>
              </w:rPr>
              <w:t>.</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45"/>
        </w:trPr>
        <w:tc>
          <w:tcPr>
            <w:tcW w:w="380" w:type="dxa"/>
            <w:vAlign w:val="bottom"/>
          </w:tcPr>
          <w:p>
            <w:pPr>
              <w:spacing w:after="0"/>
              <w:rPr>
                <w:sz w:val="24"/>
                <w:szCs w:val="24"/>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5820" w:type="dxa"/>
            <w:vAlign w:val="bottom"/>
            <w:gridSpan w:val="9"/>
          </w:tcPr>
          <w:p>
            <w:pPr>
              <w:ind w:left="17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80" w:type="dxa"/>
            <w:vAlign w:val="bottom"/>
          </w:tcPr>
          <w:p>
            <w:pPr>
              <w:spacing w:after="0"/>
              <w:rPr>
                <w:sz w:val="14"/>
                <w:szCs w:val="14"/>
                <w:color w:val="auto"/>
              </w:rPr>
            </w:pPr>
          </w:p>
        </w:tc>
        <w:tc>
          <w:tcPr>
            <w:tcW w:w="1080" w:type="dxa"/>
            <w:vAlign w:val="bottom"/>
            <w:tcBorders>
              <w:top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7"/>
              </w:rPr>
              <w:t>2.1</w:t>
            </w: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100" w:type="dxa"/>
            <w:vAlign w:val="bottom"/>
            <w:tcBorders>
              <w:top w:val="single" w:sz="8" w:color="auto"/>
            </w:tcBorders>
            <w:gridSpan w:val="10"/>
          </w:tcPr>
          <w:p>
            <w:pPr>
              <w:spacing w:after="0" w:line="169"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Business Combination Agreement, dated May 16, 2022, by and among Executive Network</w:t>
              </w:r>
            </w:hyperlink>
          </w:p>
        </w:tc>
        <w:tc>
          <w:tcPr>
            <w:tcW w:w="60" w:type="dxa"/>
            <w:vAlign w:val="bottom"/>
          </w:tcPr>
          <w:p>
            <w:pPr>
              <w:spacing w:after="0"/>
              <w:rPr>
                <w:sz w:val="14"/>
                <w:szCs w:val="14"/>
                <w:color w:val="auto"/>
              </w:rPr>
            </w:pPr>
          </w:p>
        </w:tc>
      </w:tr>
      <w:tr>
        <w:trPr>
          <w:trHeight w:val="20"/>
        </w:trPr>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80" w:type="dxa"/>
            <w:vAlign w:val="bottom"/>
            <w:gridSpan w:val="12"/>
          </w:tcPr>
          <w:p>
            <w:pPr>
              <w:spacing w:after="0" w:line="19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Partnering Corporation, Granite Ridge Resources, Inc., ENPC Merger Sub, Inc., GREP Merger</w:t>
              </w:r>
            </w:hyperlink>
          </w:p>
        </w:tc>
      </w:tr>
      <w:tr>
        <w:trPr>
          <w:trHeight w:val="20"/>
        </w:trPr>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80" w:type="dxa"/>
            <w:vAlign w:val="bottom"/>
            <w:gridSpan w:val="12"/>
          </w:tcPr>
          <w:p>
            <w:pPr>
              <w:spacing w:after="0" w:line="196" w:lineRule="exact"/>
              <w:rPr>
                <w:rFonts w:ascii="Times New Roman" w:cs="Times New Roman" w:eastAsia="Times New Roman" w:hAnsi="Times New Roman"/>
                <w:sz w:val="18"/>
                <w:szCs w:val="18"/>
                <w:color w:val="0000FF"/>
              </w:rPr>
            </w:pPr>
            <w:hyperlink r:id="rId50">
              <w:r>
                <w:rPr>
                  <w:rFonts w:ascii="Times New Roman" w:cs="Times New Roman" w:eastAsia="Times New Roman" w:hAnsi="Times New Roman"/>
                  <w:sz w:val="18"/>
                  <w:szCs w:val="18"/>
                  <w:color w:val="0000FF"/>
                </w:rPr>
                <w:t>Sub, LLC, and GREP (incorporated by reference to Annex A of Granite Ridge Resources, Inc.’s</w:t>
              </w:r>
            </w:hyperlink>
          </w:p>
        </w:tc>
      </w:tr>
      <w:tr>
        <w:trPr>
          <w:trHeight w:val="196"/>
        </w:trPr>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400" w:type="dxa"/>
            <w:vAlign w:val="bottom"/>
            <w:tcBorders>
              <w:top w:val="single" w:sz="8" w:color="0000FF"/>
              <w:bottom w:val="single" w:sz="8" w:color="0000FF"/>
            </w:tcBorders>
            <w:gridSpan w:val="4"/>
          </w:tcPr>
          <w:p>
            <w:pPr>
              <w:spacing w:after="0" w:line="196" w:lineRule="exact"/>
              <w:rPr>
                <w:rFonts w:ascii="Times New Roman" w:cs="Times New Roman" w:eastAsia="Times New Roman" w:hAnsi="Times New Roman"/>
                <w:sz w:val="18"/>
                <w:szCs w:val="18"/>
                <w:color w:val="0000FF"/>
                <w:w w:val="99"/>
              </w:rPr>
            </w:pPr>
            <w:hyperlink r:id="rId50">
              <w:r>
                <w:rPr>
                  <w:rFonts w:ascii="Times New Roman" w:cs="Times New Roman" w:eastAsia="Times New Roman" w:hAnsi="Times New Roman"/>
                  <w:sz w:val="18"/>
                  <w:szCs w:val="18"/>
                  <w:color w:val="0000FF"/>
                  <w:w w:val="99"/>
                </w:rPr>
                <w:t>Registration Statement on Form S-4, filed with the SEC on May 16, 2022).</w:t>
              </w:r>
            </w:hyperlink>
          </w:p>
        </w:tc>
        <w:tc>
          <w:tcPr>
            <w:tcW w:w="1520" w:type="dxa"/>
            <w:vAlign w:val="bottom"/>
            <w:tcBorders>
              <w:top w:val="single" w:sz="8" w:color="0000FF"/>
            </w:tcBorders>
            <w:gridSpan w:val="4"/>
          </w:tcPr>
          <w:p>
            <w:pPr>
              <w:spacing w:after="0"/>
              <w:rPr>
                <w:sz w:val="17"/>
                <w:szCs w:val="17"/>
                <w:color w:val="auto"/>
              </w:rPr>
            </w:pPr>
          </w:p>
        </w:tc>
        <w:tc>
          <w:tcPr>
            <w:tcW w:w="260" w:type="dxa"/>
            <w:vAlign w:val="bottom"/>
            <w:gridSpan w:val="4"/>
          </w:tcPr>
          <w:p>
            <w:pPr>
              <w:spacing w:after="0"/>
              <w:rPr>
                <w:sz w:val="17"/>
                <w:szCs w:val="17"/>
                <w:color w:val="auto"/>
              </w:rPr>
            </w:pPr>
          </w:p>
        </w:tc>
      </w:tr>
      <w:tr>
        <w:trPr>
          <w:trHeight w:val="304"/>
        </w:trPr>
        <w:tc>
          <w:tcPr>
            <w:tcW w:w="146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7"/>
              </w:rPr>
              <w:t>3.1</w:t>
            </w:r>
          </w:p>
        </w:tc>
        <w:tc>
          <w:tcPr>
            <w:tcW w:w="280" w:type="dxa"/>
            <w:vAlign w:val="bottom"/>
          </w:tcPr>
          <w:p>
            <w:pPr>
              <w:spacing w:after="0"/>
              <w:rPr>
                <w:sz w:val="24"/>
                <w:szCs w:val="24"/>
                <w:color w:val="auto"/>
              </w:rPr>
            </w:pPr>
          </w:p>
        </w:tc>
        <w:tc>
          <w:tcPr>
            <w:tcW w:w="7180" w:type="dxa"/>
            <w:vAlign w:val="bottom"/>
            <w:gridSpan w:val="12"/>
          </w:tcPr>
          <w:p>
            <w:pPr>
              <w:spacing w:after="0"/>
              <w:rPr>
                <w:rFonts w:ascii="Times New Roman" w:cs="Times New Roman" w:eastAsia="Times New Roman" w:hAnsi="Times New Roman"/>
                <w:sz w:val="18"/>
                <w:szCs w:val="18"/>
                <w:color w:val="0000FF"/>
              </w:rPr>
            </w:pPr>
            <w:hyperlink r:id="rId51">
              <w:r>
                <w:rPr>
                  <w:rFonts w:ascii="Times New Roman" w:cs="Times New Roman" w:eastAsia="Times New Roman" w:hAnsi="Times New Roman"/>
                  <w:sz w:val="18"/>
                  <w:szCs w:val="18"/>
                  <w:color w:val="0000FF"/>
                </w:rPr>
                <w:t>Amended and Restated Certificate of Incorporation of Granite Ridge Resources, Inc. (incorporated</w:t>
              </w:r>
            </w:hyperlink>
          </w:p>
        </w:tc>
      </w:tr>
      <w:tr>
        <w:trPr>
          <w:trHeight w:val="196"/>
        </w:trPr>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960" w:type="dxa"/>
            <w:vAlign w:val="bottom"/>
            <w:tcBorders>
              <w:top w:val="single" w:sz="8" w:color="0000FF"/>
              <w:bottom w:val="single" w:sz="8" w:color="0000FF"/>
            </w:tcBorders>
            <w:gridSpan w:val="9"/>
          </w:tcPr>
          <w:p>
            <w:pPr>
              <w:spacing w:after="0" w:line="196" w:lineRule="exact"/>
              <w:rPr>
                <w:rFonts w:ascii="Times New Roman" w:cs="Times New Roman" w:eastAsia="Times New Roman" w:hAnsi="Times New Roman"/>
                <w:sz w:val="18"/>
                <w:szCs w:val="18"/>
                <w:color w:val="0000FF"/>
                <w:w w:val="99"/>
              </w:rPr>
            </w:pPr>
            <w:hyperlink r:id="rId51">
              <w:r>
                <w:rPr>
                  <w:rFonts w:ascii="Times New Roman" w:cs="Times New Roman" w:eastAsia="Times New Roman" w:hAnsi="Times New Roman"/>
                  <w:sz w:val="18"/>
                  <w:szCs w:val="18"/>
                  <w:color w:val="0000FF"/>
                  <w:w w:val="99"/>
                </w:rPr>
                <w:t>by reference to Exhibit 3.1 to the Company’s Current Report on Form 8-K filed with the SEC on</w:t>
              </w:r>
            </w:hyperlink>
          </w:p>
        </w:tc>
        <w:tc>
          <w:tcPr>
            <w:tcW w:w="140" w:type="dxa"/>
            <w:vAlign w:val="bottom"/>
            <w:tcBorders>
              <w:top w:val="single" w:sz="8" w:color="0000FF"/>
            </w:tcBorders>
          </w:tcPr>
          <w:p>
            <w:pPr>
              <w:spacing w:after="0"/>
              <w:rPr>
                <w:sz w:val="17"/>
                <w:szCs w:val="17"/>
                <w:color w:val="auto"/>
              </w:rPr>
            </w:pPr>
          </w:p>
        </w:tc>
        <w:tc>
          <w:tcPr>
            <w:tcW w:w="80" w:type="dxa"/>
            <w:vAlign w:val="bottom"/>
            <w:gridSpan w:val="2"/>
          </w:tcPr>
          <w:p>
            <w:pPr>
              <w:spacing w:after="0"/>
              <w:rPr>
                <w:sz w:val="17"/>
                <w:szCs w:val="17"/>
                <w:color w:val="auto"/>
              </w:rPr>
            </w:pPr>
          </w:p>
        </w:tc>
      </w:tr>
      <w:tr>
        <w:trPr>
          <w:trHeight w:val="196"/>
        </w:trPr>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Borders>
              <w:bottom w:val="single" w:sz="8" w:color="0000FF"/>
            </w:tcBorders>
            <w:gridSpan w:val="3"/>
          </w:tcPr>
          <w:p>
            <w:pPr>
              <w:spacing w:after="0" w:line="196" w:lineRule="exact"/>
              <w:rPr>
                <w:rFonts w:ascii="Times New Roman" w:cs="Times New Roman" w:eastAsia="Times New Roman" w:hAnsi="Times New Roman"/>
                <w:sz w:val="18"/>
                <w:szCs w:val="18"/>
                <w:color w:val="0000FF"/>
                <w:w w:val="98"/>
              </w:rPr>
            </w:pPr>
            <w:hyperlink r:id="rId51">
              <w:r>
                <w:rPr>
                  <w:rFonts w:ascii="Times New Roman" w:cs="Times New Roman" w:eastAsia="Times New Roman" w:hAnsi="Times New Roman"/>
                  <w:sz w:val="18"/>
                  <w:szCs w:val="18"/>
                  <w:color w:val="0000FF"/>
                  <w:w w:val="98"/>
                </w:rPr>
                <w:t>October 28, 2022).</w:t>
              </w:r>
            </w:hyperlink>
          </w:p>
        </w:tc>
        <w:tc>
          <w:tcPr>
            <w:tcW w:w="5820" w:type="dxa"/>
            <w:vAlign w:val="bottom"/>
            <w:gridSpan w:val="9"/>
          </w:tcPr>
          <w:p>
            <w:pPr>
              <w:spacing w:after="0"/>
              <w:rPr>
                <w:sz w:val="17"/>
                <w:szCs w:val="17"/>
                <w:color w:val="auto"/>
              </w:rPr>
            </w:pPr>
          </w:p>
        </w:tc>
      </w:tr>
      <w:tr>
        <w:trPr>
          <w:trHeight w:val="250"/>
        </w:trPr>
        <w:tc>
          <w:tcPr>
            <w:tcW w:w="1460" w:type="dxa"/>
            <w:vAlign w:val="bottom"/>
            <w:gridSpan w:val="2"/>
          </w:tcPr>
          <w:p>
            <w:pPr>
              <w:jc w:val="center"/>
              <w:ind w:left="310"/>
              <w:spacing w:after="0"/>
              <w:rPr>
                <w:sz w:val="20"/>
                <w:szCs w:val="20"/>
                <w:color w:val="auto"/>
              </w:rPr>
            </w:pPr>
            <w:r>
              <w:rPr>
                <w:rFonts w:ascii="Times New Roman" w:cs="Times New Roman" w:eastAsia="Times New Roman" w:hAnsi="Times New Roman"/>
                <w:sz w:val="18"/>
                <w:szCs w:val="18"/>
                <w:color w:val="auto"/>
                <w:w w:val="97"/>
              </w:rPr>
              <w:t>3.2</w:t>
            </w:r>
          </w:p>
        </w:tc>
        <w:tc>
          <w:tcPr>
            <w:tcW w:w="280" w:type="dxa"/>
            <w:vAlign w:val="bottom"/>
          </w:tcPr>
          <w:p>
            <w:pPr>
              <w:spacing w:after="0"/>
              <w:rPr>
                <w:sz w:val="21"/>
                <w:szCs w:val="21"/>
                <w:color w:val="auto"/>
              </w:rPr>
            </w:pPr>
          </w:p>
        </w:tc>
        <w:tc>
          <w:tcPr>
            <w:tcW w:w="6840" w:type="dxa"/>
            <w:vAlign w:val="bottom"/>
            <w:tcBorders>
              <w:bottom w:val="single" w:sz="8" w:color="0000FF"/>
            </w:tcBorders>
            <w:gridSpan w:val="7"/>
          </w:tcPr>
          <w:p>
            <w:pPr>
              <w:spacing w:after="0"/>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Amended and Restated Bylaws of Granite Ridge Resources, Inc. (incorporated by reference to</w:t>
              </w:r>
            </w:hyperlink>
          </w:p>
        </w:tc>
        <w:tc>
          <w:tcPr>
            <w:tcW w:w="340" w:type="dxa"/>
            <w:vAlign w:val="bottom"/>
            <w:gridSpan w:val="5"/>
          </w:tcPr>
          <w:p>
            <w:pPr>
              <w:spacing w:after="0"/>
              <w:rPr>
                <w:sz w:val="21"/>
                <w:szCs w:val="21"/>
                <w:color w:val="auto"/>
              </w:rPr>
            </w:pPr>
          </w:p>
        </w:tc>
      </w:tr>
      <w:tr>
        <w:trPr>
          <w:trHeight w:val="196"/>
        </w:trPr>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80" w:type="dxa"/>
            <w:vAlign w:val="bottom"/>
            <w:gridSpan w:val="12"/>
          </w:tcPr>
          <w:p>
            <w:pPr>
              <w:spacing w:after="0" w:line="196" w:lineRule="exact"/>
              <w:rPr>
                <w:rFonts w:ascii="Times New Roman" w:cs="Times New Roman" w:eastAsia="Times New Roman" w:hAnsi="Times New Roman"/>
                <w:sz w:val="18"/>
                <w:szCs w:val="18"/>
                <w:color w:val="0000FF"/>
              </w:rPr>
            </w:pPr>
            <w:hyperlink r:id="rId52">
              <w:r>
                <w:rPr>
                  <w:rFonts w:ascii="Times New Roman" w:cs="Times New Roman" w:eastAsia="Times New Roman" w:hAnsi="Times New Roman"/>
                  <w:sz w:val="18"/>
                  <w:szCs w:val="18"/>
                  <w:color w:val="0000FF"/>
                </w:rPr>
                <w:t>Exhibit 3.2 to the Company’s Current Report on Form 8-K filed with the SEC on October 28,</w:t>
              </w:r>
            </w:hyperlink>
          </w:p>
        </w:tc>
      </w:tr>
      <w:tr>
        <w:trPr>
          <w:trHeight w:val="20"/>
        </w:trPr>
        <w:tc>
          <w:tcPr>
            <w:tcW w:w="3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040" w:type="dxa"/>
            <w:vAlign w:val="bottom"/>
            <w:shd w:val="clear" w:color="auto" w:fill="0000FF"/>
          </w:tcPr>
          <w:p>
            <w:pPr>
              <w:spacing w:after="0" w:line="20" w:lineRule="exact"/>
              <w:rPr>
                <w:sz w:val="1"/>
                <w:szCs w:val="1"/>
                <w:color w:val="auto"/>
              </w:rPr>
            </w:pPr>
          </w:p>
        </w:tc>
        <w:tc>
          <w:tcPr>
            <w:tcW w:w="1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3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40" w:type="dxa"/>
            <w:vAlign w:val="bottom"/>
            <w:gridSpan w:val="3"/>
          </w:tcPr>
          <w:p>
            <w:pPr>
              <w:ind w:left="280"/>
              <w:spacing w:after="0" w:line="196" w:lineRule="exact"/>
              <w:rPr>
                <w:rFonts w:ascii="Times New Roman" w:cs="Times New Roman" w:eastAsia="Times New Roman" w:hAnsi="Times New Roman"/>
                <w:sz w:val="18"/>
                <w:szCs w:val="18"/>
                <w:color w:val="0000FF"/>
                <w:w w:val="94"/>
              </w:rPr>
            </w:pPr>
            <w:hyperlink r:id="rId52">
              <w:r>
                <w:rPr>
                  <w:rFonts w:ascii="Times New Roman" w:cs="Times New Roman" w:eastAsia="Times New Roman" w:hAnsi="Times New Roman"/>
                  <w:sz w:val="18"/>
                  <w:szCs w:val="18"/>
                  <w:color w:val="0000FF"/>
                  <w:w w:val="94"/>
                </w:rPr>
                <w:t>2022).</w:t>
              </w:r>
            </w:hyperlink>
          </w:p>
        </w:tc>
        <w:tc>
          <w:tcPr>
            <w:tcW w:w="900" w:type="dxa"/>
            <w:vAlign w:val="bottom"/>
          </w:tcPr>
          <w:p>
            <w:pPr>
              <w:spacing w:after="0"/>
              <w:rPr>
                <w:sz w:val="17"/>
                <w:szCs w:val="17"/>
                <w:color w:val="auto"/>
              </w:rPr>
            </w:pPr>
          </w:p>
        </w:tc>
        <w:tc>
          <w:tcPr>
            <w:tcW w:w="40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776"/>
        </w:trPr>
        <w:tc>
          <w:tcPr>
            <w:tcW w:w="3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60" w:type="dxa"/>
            <w:vAlign w:val="bottom"/>
            <w:tcBorders>
              <w:top w:val="single" w:sz="8" w:color="0000FF"/>
            </w:tcBorders>
            <w:gridSpan w:val="2"/>
          </w:tcPr>
          <w:p>
            <w:pPr>
              <w:spacing w:after="0"/>
              <w:rPr>
                <w:sz w:val="24"/>
                <w:szCs w:val="24"/>
                <w:color w:val="auto"/>
              </w:rPr>
            </w:pPr>
          </w:p>
        </w:tc>
        <w:tc>
          <w:tcPr>
            <w:tcW w:w="4940" w:type="dxa"/>
            <w:vAlign w:val="bottom"/>
            <w:gridSpan w:val="2"/>
          </w:tcPr>
          <w:p>
            <w:pPr>
              <w:jc w:val="right"/>
              <w:ind w:right="2490"/>
              <w:spacing w:after="0"/>
              <w:rPr>
                <w:sz w:val="20"/>
                <w:szCs w:val="20"/>
                <w:color w:val="auto"/>
              </w:rPr>
            </w:pPr>
            <w:r>
              <w:rPr>
                <w:rFonts w:ascii="Times New Roman" w:cs="Times New Roman" w:eastAsia="Times New Roman" w:hAnsi="Times New Roman"/>
                <w:sz w:val="18"/>
                <w:szCs w:val="18"/>
                <w:color w:val="auto"/>
              </w:rPr>
              <w:t>37</w:t>
            </w:r>
          </w:p>
        </w:tc>
        <w:tc>
          <w:tcPr>
            <w:tcW w:w="1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1"/>
        </w:trPr>
        <w:tc>
          <w:tcPr>
            <w:tcW w:w="3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40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61" w:right="1440" w:bottom="1440" w:gutter="0" w:footer="0" w:header="0"/>
        </w:sectPr>
      </w:pPr>
    </w:p>
    <w:bookmarkStart w:id="40" w:name="page41"/>
    <w:bookmarkEnd w:id="40"/>
    <w:p>
      <w:pPr>
        <w:spacing w:after="0" w:line="1"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1460" w:type="dxa"/>
            <w:vAlign w:val="bottom"/>
            <w:gridSpan w:val="4"/>
          </w:tcPr>
          <w:p>
            <w:pPr>
              <w:ind w:left="20"/>
              <w:spacing w:after="0"/>
              <w:rPr>
                <w:sz w:val="20"/>
                <w:szCs w:val="20"/>
                <w:color w:val="auto"/>
              </w:rPr>
            </w:pPr>
            <w:r>
              <w:rPr>
                <w:rFonts w:ascii="Times New Roman" w:cs="Times New Roman" w:eastAsia="Times New Roman" w:hAnsi="Times New Roman"/>
                <w:sz w:val="18"/>
                <w:szCs w:val="18"/>
                <w:color w:val="0000EE"/>
              </w:rPr>
              <w:t>Table of Contents</w:t>
            </w: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790"/>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040" w:type="dxa"/>
            <w:vAlign w:val="bottom"/>
            <w:gridSpan w:val="24"/>
          </w:tcPr>
          <w:p>
            <w:pPr>
              <w:ind w:left="98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80" w:type="dxa"/>
            <w:vAlign w:val="bottom"/>
            <w:gridSpan w:val="2"/>
          </w:tcPr>
          <w:p>
            <w:pPr>
              <w:spacing w:after="0"/>
              <w:rPr>
                <w:sz w:val="14"/>
                <w:szCs w:val="14"/>
                <w:color w:val="auto"/>
              </w:rPr>
            </w:pPr>
          </w:p>
        </w:tc>
        <w:tc>
          <w:tcPr>
            <w:tcW w:w="900" w:type="dxa"/>
            <w:vAlign w:val="bottom"/>
            <w:tcBorders>
              <w:top w:val="single" w:sz="8" w:color="auto"/>
            </w:tcBorders>
          </w:tcPr>
          <w:p>
            <w:pPr>
              <w:jc w:val="center"/>
              <w:ind w:left="110"/>
              <w:spacing w:after="0" w:line="169" w:lineRule="exact"/>
              <w:rPr>
                <w:sz w:val="20"/>
                <w:szCs w:val="20"/>
                <w:color w:val="auto"/>
              </w:rPr>
            </w:pPr>
            <w:r>
              <w:rPr>
                <w:rFonts w:ascii="Times New Roman" w:cs="Times New Roman" w:eastAsia="Times New Roman" w:hAnsi="Times New Roman"/>
                <w:sz w:val="18"/>
                <w:szCs w:val="18"/>
                <w:color w:val="auto"/>
                <w:w w:val="97"/>
              </w:rPr>
              <w:t>4.1</w:t>
            </w:r>
          </w:p>
        </w:tc>
        <w:tc>
          <w:tcPr>
            <w:tcW w:w="180" w:type="dxa"/>
            <w:vAlign w:val="bottom"/>
            <w:tcBorders>
              <w:top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100" w:type="dxa"/>
            <w:vAlign w:val="bottom"/>
            <w:tcBorders>
              <w:top w:val="single" w:sz="8" w:color="auto"/>
            </w:tcBorders>
            <w:gridSpan w:val="28"/>
          </w:tcPr>
          <w:p>
            <w:pPr>
              <w:spacing w:after="0" w:line="169" w:lineRule="exact"/>
              <w:rPr>
                <w:rFonts w:ascii="Times New Roman" w:cs="Times New Roman" w:eastAsia="Times New Roman" w:hAnsi="Times New Roman"/>
                <w:sz w:val="18"/>
                <w:szCs w:val="18"/>
                <w:color w:val="0000FF"/>
              </w:rPr>
            </w:pPr>
            <w:hyperlink r:id="rId53">
              <w:r>
                <w:rPr>
                  <w:rFonts w:ascii="Times New Roman" w:cs="Times New Roman" w:eastAsia="Times New Roman" w:hAnsi="Times New Roman"/>
                  <w:sz w:val="18"/>
                  <w:szCs w:val="18"/>
                  <w:color w:val="0000FF"/>
                </w:rPr>
                <w:t>Specimen Common Stock Certificate (incorporated by reference to Exhibit 4.1 to Granite Ridge</w:t>
              </w:r>
            </w:hyperlink>
          </w:p>
        </w:tc>
        <w:tc>
          <w:tcPr>
            <w:tcW w:w="60" w:type="dxa"/>
            <w:vAlign w:val="bottom"/>
          </w:tcPr>
          <w:p>
            <w:pPr>
              <w:spacing w:after="0"/>
              <w:rPr>
                <w:sz w:val="14"/>
                <w:szCs w:val="14"/>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80" w:type="dxa"/>
            <w:vAlign w:val="bottom"/>
            <w:tcBorders>
              <w:top w:val="single" w:sz="8" w:color="0000FF"/>
              <w:bottom w:val="single" w:sz="8" w:color="0000FF"/>
            </w:tcBorders>
            <w:gridSpan w:val="18"/>
          </w:tcPr>
          <w:p>
            <w:pPr>
              <w:spacing w:after="0" w:line="196" w:lineRule="exact"/>
              <w:rPr>
                <w:rFonts w:ascii="Times New Roman" w:cs="Times New Roman" w:eastAsia="Times New Roman" w:hAnsi="Times New Roman"/>
                <w:sz w:val="18"/>
                <w:szCs w:val="18"/>
                <w:color w:val="0000FF"/>
                <w:w w:val="99"/>
              </w:rPr>
            </w:pPr>
            <w:hyperlink r:id="rId53">
              <w:r>
                <w:rPr>
                  <w:rFonts w:ascii="Times New Roman" w:cs="Times New Roman" w:eastAsia="Times New Roman" w:hAnsi="Times New Roman"/>
                  <w:sz w:val="18"/>
                  <w:szCs w:val="18"/>
                  <w:color w:val="0000FF"/>
                  <w:w w:val="99"/>
                </w:rPr>
                <w:t>Resources, Inc.’s Registration Statement on Form S-4/A, filed with the SEC on September 12,</w:t>
              </w:r>
            </w:hyperlink>
          </w:p>
        </w:tc>
        <w:tc>
          <w:tcPr>
            <w:tcW w:w="120" w:type="dxa"/>
            <w:vAlign w:val="bottom"/>
            <w:tcBorders>
              <w:top w:val="single" w:sz="8" w:color="0000FF"/>
            </w:tcBorders>
            <w:gridSpan w:val="4"/>
          </w:tcPr>
          <w:p>
            <w:pPr>
              <w:spacing w:after="0"/>
              <w:rPr>
                <w:sz w:val="17"/>
                <w:szCs w:val="17"/>
                <w:color w:val="auto"/>
              </w:rPr>
            </w:pPr>
          </w:p>
        </w:tc>
        <w:tc>
          <w:tcPr>
            <w:tcW w:w="280" w:type="dxa"/>
            <w:vAlign w:val="bottom"/>
            <w:gridSpan w:val="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3"/>
          </w:tcPr>
          <w:p>
            <w:pPr>
              <w:ind w:left="280"/>
              <w:spacing w:after="0" w:line="196" w:lineRule="exact"/>
              <w:rPr>
                <w:rFonts w:ascii="Times New Roman" w:cs="Times New Roman" w:eastAsia="Times New Roman" w:hAnsi="Times New Roman"/>
                <w:sz w:val="18"/>
                <w:szCs w:val="18"/>
                <w:color w:val="0000FF"/>
                <w:w w:val="94"/>
              </w:rPr>
            </w:pPr>
            <w:hyperlink r:id="rId53">
              <w:r>
                <w:rPr>
                  <w:rFonts w:ascii="Times New Roman" w:cs="Times New Roman" w:eastAsia="Times New Roman" w:hAnsi="Times New Roman"/>
                  <w:sz w:val="18"/>
                  <w:szCs w:val="18"/>
                  <w:color w:val="0000FF"/>
                  <w:w w:val="94"/>
                </w:rPr>
                <w:t>2022).</w:t>
              </w:r>
            </w:hyperlink>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2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7"/>
              </w:rPr>
              <w:t>4.2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4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54">
              <w:r>
                <w:rPr>
                  <w:rFonts w:ascii="Times New Roman" w:cs="Times New Roman" w:eastAsia="Times New Roman" w:hAnsi="Times New Roman"/>
                  <w:sz w:val="18"/>
                  <w:szCs w:val="18"/>
                  <w:color w:val="0000FF"/>
                  <w:w w:val="99"/>
                </w:rPr>
                <w:t>Specimen Warrant Certificate (incorporated by reference to Exhibit 4.3 to Executive Network</w:t>
              </w:r>
            </w:hyperlink>
          </w:p>
        </w:tc>
        <w:tc>
          <w:tcPr>
            <w:tcW w:w="440" w:type="dxa"/>
            <w:vAlign w:val="bottom"/>
            <w:gridSpan w:val="14"/>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80" w:type="dxa"/>
            <w:vAlign w:val="bottom"/>
            <w:gridSpan w:val="30"/>
          </w:tcPr>
          <w:p>
            <w:pPr>
              <w:spacing w:after="0" w:line="196" w:lineRule="exact"/>
              <w:rPr>
                <w:rFonts w:ascii="Times New Roman" w:cs="Times New Roman" w:eastAsia="Times New Roman" w:hAnsi="Times New Roman"/>
                <w:sz w:val="18"/>
                <w:szCs w:val="18"/>
                <w:color w:val="0000FF"/>
              </w:rPr>
            </w:pPr>
            <w:hyperlink r:id="rId54">
              <w:r>
                <w:rPr>
                  <w:rFonts w:ascii="Times New Roman" w:cs="Times New Roman" w:eastAsia="Times New Roman" w:hAnsi="Times New Roman"/>
                  <w:sz w:val="18"/>
                  <w:szCs w:val="18"/>
                  <w:color w:val="0000FF"/>
                </w:rPr>
                <w:t>Partnering Corporation’s Registration Statement on Form S-1, filed with the SEC on September</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4"/>
          </w:tcPr>
          <w:p>
            <w:pPr>
              <w:ind w:left="280"/>
              <w:spacing w:after="0" w:line="196" w:lineRule="exact"/>
              <w:rPr>
                <w:rFonts w:ascii="Times New Roman" w:cs="Times New Roman" w:eastAsia="Times New Roman" w:hAnsi="Times New Roman"/>
                <w:sz w:val="18"/>
                <w:szCs w:val="18"/>
                <w:color w:val="0000FF"/>
                <w:w w:val="97"/>
              </w:rPr>
            </w:pPr>
            <w:hyperlink r:id="rId54">
              <w:r>
                <w:rPr>
                  <w:rFonts w:ascii="Times New Roman" w:cs="Times New Roman" w:eastAsia="Times New Roman" w:hAnsi="Times New Roman"/>
                  <w:sz w:val="18"/>
                  <w:szCs w:val="18"/>
                  <w:color w:val="0000FF"/>
                  <w:w w:val="97"/>
                </w:rPr>
                <w:t>14, 2020).</w:t>
              </w:r>
            </w:hyperlink>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2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7"/>
              </w:rPr>
              <w:t>4.3</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20" w:type="dxa"/>
            <w:vAlign w:val="bottom"/>
            <w:tcBorders>
              <w:bottom w:val="single" w:sz="8" w:color="0000FF"/>
            </w:tcBorders>
            <w:gridSpan w:val="13"/>
          </w:tcPr>
          <w:p>
            <w:pPr>
              <w:spacing w:after="0"/>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Warrant Agreement, dated September 15, 2020 between Continental Stock Transfer &amp; Trust</w:t>
              </w:r>
            </w:hyperlink>
          </w:p>
        </w:tc>
        <w:tc>
          <w:tcPr>
            <w:tcW w:w="560" w:type="dxa"/>
            <w:vAlign w:val="bottom"/>
            <w:gridSpan w:val="17"/>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80" w:type="dxa"/>
            <w:vAlign w:val="bottom"/>
            <w:gridSpan w:val="30"/>
          </w:tcPr>
          <w:p>
            <w:pPr>
              <w:spacing w:after="0" w:line="19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Company and Executive Network Partnering Corporation (incorporated by reference to Exhibit</w:t>
              </w:r>
            </w:hyperlink>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40" w:type="dxa"/>
            <w:vAlign w:val="bottom"/>
            <w:tcBorders>
              <w:top w:val="single" w:sz="8" w:color="0000FF"/>
              <w:bottom w:val="single" w:sz="8" w:color="0000FF"/>
            </w:tcBorders>
            <w:gridSpan w:val="20"/>
          </w:tcPr>
          <w:p>
            <w:pPr>
              <w:spacing w:after="0" w:line="196" w:lineRule="exact"/>
              <w:rPr>
                <w:rFonts w:ascii="Times New Roman" w:cs="Times New Roman" w:eastAsia="Times New Roman" w:hAnsi="Times New Roman"/>
                <w:sz w:val="18"/>
                <w:szCs w:val="18"/>
                <w:color w:val="0000FF"/>
                <w:w w:val="99"/>
              </w:rPr>
            </w:pPr>
            <w:hyperlink r:id="rId55">
              <w:r>
                <w:rPr>
                  <w:rFonts w:ascii="Times New Roman" w:cs="Times New Roman" w:eastAsia="Times New Roman" w:hAnsi="Times New Roman"/>
                  <w:sz w:val="18"/>
                  <w:szCs w:val="18"/>
                  <w:color w:val="0000FF"/>
                  <w:w w:val="99"/>
                </w:rPr>
                <w:t>4.</w:t>
              </w:r>
              <w:r>
                <w:rPr>
                  <w:rFonts w:ascii="Times New Roman" w:cs="Times New Roman" w:eastAsia="Times New Roman" w:hAnsi="Times New Roman"/>
                  <w:sz w:val="18"/>
                  <w:szCs w:val="18"/>
                  <w:u w:val="single" w:color="auto"/>
                  <w:color w:val="0000FF"/>
                  <w:w w:val="99"/>
                </w:rPr>
                <w:t>1</w:t>
              </w:r>
              <w:r>
                <w:rPr>
                  <w:rFonts w:ascii="Times New Roman" w:cs="Times New Roman" w:eastAsia="Times New Roman" w:hAnsi="Times New Roman"/>
                  <w:sz w:val="18"/>
                  <w:szCs w:val="18"/>
                  <w:color w:val="0000FF"/>
                  <w:w w:val="99"/>
                </w:rPr>
                <w:t xml:space="preserve"> to Executive Network Partnering Corporation’s Current Report on Form 8-K, filed with the</w:t>
              </w:r>
            </w:hyperlink>
          </w:p>
        </w:tc>
        <w:tc>
          <w:tcPr>
            <w:tcW w:w="40" w:type="dxa"/>
            <w:vAlign w:val="bottom"/>
            <w:tcBorders>
              <w:top w:val="single" w:sz="8" w:color="0000FF"/>
            </w:tcBorders>
          </w:tcPr>
          <w:p>
            <w:pPr>
              <w:spacing w:after="0"/>
              <w:rPr>
                <w:sz w:val="17"/>
                <w:szCs w:val="17"/>
                <w:color w:val="auto"/>
              </w:rPr>
            </w:pPr>
          </w:p>
        </w:tc>
        <w:tc>
          <w:tcPr>
            <w:tcW w:w="300" w:type="dxa"/>
            <w:vAlign w:val="bottom"/>
            <w:gridSpan w:val="9"/>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80" w:type="dxa"/>
            <w:vAlign w:val="bottom"/>
            <w:gridSpan w:val="30"/>
          </w:tcPr>
          <w:p>
            <w:pPr>
              <w:spacing w:after="0" w:line="196" w:lineRule="exact"/>
              <w:rPr>
                <w:rFonts w:ascii="Times New Roman" w:cs="Times New Roman" w:eastAsia="Times New Roman" w:hAnsi="Times New Roman"/>
                <w:sz w:val="18"/>
                <w:szCs w:val="18"/>
                <w:color w:val="0000FF"/>
              </w:rPr>
            </w:pPr>
            <w:hyperlink r:id="rId55">
              <w:r>
                <w:rPr>
                  <w:rFonts w:ascii="Times New Roman" w:cs="Times New Roman" w:eastAsia="Times New Roman" w:hAnsi="Times New Roman"/>
                  <w:sz w:val="18"/>
                  <w:szCs w:val="18"/>
                  <w:color w:val="0000FF"/>
                </w:rPr>
                <w:t>SEC on September 21, 2020).</w:t>
              </w:r>
            </w:hyperlink>
          </w:p>
        </w:tc>
      </w:tr>
      <w:tr>
        <w:trPr>
          <w:trHeight w:val="20"/>
        </w:trPr>
        <w:tc>
          <w:tcPr>
            <w:tcW w:w="1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2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7"/>
              </w:rPr>
              <w:t>4.4</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40" w:type="dxa"/>
            <w:vAlign w:val="bottom"/>
            <w:tcBorders>
              <w:bottom w:val="single" w:sz="8" w:color="0000FF"/>
            </w:tcBorders>
            <w:gridSpan w:val="14"/>
          </w:tcPr>
          <w:p>
            <w:pPr>
              <w:spacing w:after="0"/>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Amendment No. 1 to Warrant Agreement, dated March 24, 2021 between Continental Stock</w:t>
              </w:r>
            </w:hyperlink>
          </w:p>
        </w:tc>
        <w:tc>
          <w:tcPr>
            <w:tcW w:w="540" w:type="dxa"/>
            <w:vAlign w:val="bottom"/>
            <w:gridSpan w:val="16"/>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40" w:type="dxa"/>
            <w:vAlign w:val="bottom"/>
            <w:tcBorders>
              <w:bottom w:val="single" w:sz="8" w:color="0000FF"/>
            </w:tcBorders>
            <w:gridSpan w:val="14"/>
          </w:tcPr>
          <w:p>
            <w:pPr>
              <w:spacing w:after="0" w:line="196" w:lineRule="exact"/>
              <w:rPr>
                <w:rFonts w:ascii="Times New Roman" w:cs="Times New Roman" w:eastAsia="Times New Roman" w:hAnsi="Times New Roman"/>
                <w:sz w:val="18"/>
                <w:szCs w:val="18"/>
                <w:color w:val="0000FF"/>
                <w:w w:val="99"/>
              </w:rPr>
            </w:pPr>
            <w:hyperlink r:id="rId56">
              <w:r>
                <w:rPr>
                  <w:rFonts w:ascii="Times New Roman" w:cs="Times New Roman" w:eastAsia="Times New Roman" w:hAnsi="Times New Roman"/>
                  <w:sz w:val="18"/>
                  <w:szCs w:val="18"/>
                  <w:color w:val="0000FF"/>
                  <w:w w:val="99"/>
                </w:rPr>
                <w:t>Transfer &amp; Trust Company and Executive Network Partnering Corporation (incorporated by</w:t>
              </w:r>
            </w:hyperlink>
          </w:p>
        </w:tc>
        <w:tc>
          <w:tcPr>
            <w:tcW w:w="540" w:type="dxa"/>
            <w:vAlign w:val="bottom"/>
            <w:gridSpan w:val="1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80" w:type="dxa"/>
            <w:vAlign w:val="bottom"/>
            <w:gridSpan w:val="30"/>
          </w:tcPr>
          <w:p>
            <w:pPr>
              <w:spacing w:after="0" w:line="19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reference to Exhibit 1.01 to Executive Network Partnering Corporation’s Current Report on Form</w:t>
              </w:r>
            </w:hyperlink>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20" w:type="dxa"/>
            <w:vAlign w:val="bottom"/>
            <w:tcBorders>
              <w:top w:val="single" w:sz="8" w:color="0000FF"/>
            </w:tcBorders>
            <w:gridSpan w:val="25"/>
          </w:tcPr>
          <w:p>
            <w:pPr>
              <w:spacing w:after="0" w:line="196" w:lineRule="exact"/>
              <w:rPr>
                <w:rFonts w:ascii="Times New Roman" w:cs="Times New Roman" w:eastAsia="Times New Roman" w:hAnsi="Times New Roman"/>
                <w:sz w:val="18"/>
                <w:szCs w:val="18"/>
                <w:color w:val="0000FF"/>
              </w:rPr>
            </w:pPr>
            <w:hyperlink r:id="rId56">
              <w:r>
                <w:rPr>
                  <w:rFonts w:ascii="Times New Roman" w:cs="Times New Roman" w:eastAsia="Times New Roman" w:hAnsi="Times New Roman"/>
                  <w:sz w:val="18"/>
                  <w:szCs w:val="18"/>
                  <w:color w:val="0000FF"/>
                </w:rPr>
                <w:t>8-K, filed with the SEC on March, 25, 2021).</w:t>
              </w:r>
            </w:hyperlink>
          </w:p>
        </w:tc>
        <w:tc>
          <w:tcPr>
            <w:tcW w:w="160" w:type="dxa"/>
            <w:vAlign w:val="bottom"/>
            <w:gridSpan w:val="5"/>
          </w:tcPr>
          <w:p>
            <w:pPr>
              <w:spacing w:after="0"/>
              <w:rPr>
                <w:sz w:val="17"/>
                <w:szCs w:val="17"/>
                <w:color w:val="auto"/>
              </w:rPr>
            </w:pPr>
          </w:p>
        </w:tc>
      </w:tr>
      <w:tr>
        <w:trPr>
          <w:trHeight w:val="20"/>
        </w:trPr>
        <w:tc>
          <w:tcPr>
            <w:tcW w:w="1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8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280" w:type="dxa"/>
            <w:vAlign w:val="bottom"/>
            <w:gridSpan w:val="3"/>
          </w:tcPr>
          <w:p>
            <w:pPr>
              <w:jc w:val="center"/>
              <w:ind w:left="490"/>
              <w:spacing w:after="0"/>
              <w:rPr>
                <w:sz w:val="20"/>
                <w:szCs w:val="20"/>
                <w:color w:val="auto"/>
              </w:rPr>
            </w:pPr>
            <w:r>
              <w:rPr>
                <w:rFonts w:ascii="Times New Roman" w:cs="Times New Roman" w:eastAsia="Times New Roman" w:hAnsi="Times New Roman"/>
                <w:sz w:val="18"/>
                <w:szCs w:val="18"/>
                <w:color w:val="auto"/>
                <w:w w:val="97"/>
              </w:rPr>
              <w:t>4.5</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760" w:type="dxa"/>
            <w:vAlign w:val="bottom"/>
            <w:tcBorders>
              <w:bottom w:val="single" w:sz="8" w:color="0000FF"/>
            </w:tcBorders>
            <w:gridSpan w:val="17"/>
          </w:tcPr>
          <w:p>
            <w:pPr>
              <w:spacing w:after="0"/>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Assignment, Assumption and Amendment Agreement, dated October 24, 2022 by and among</w:t>
              </w:r>
            </w:hyperlink>
          </w:p>
        </w:tc>
        <w:tc>
          <w:tcPr>
            <w:tcW w:w="420" w:type="dxa"/>
            <w:vAlign w:val="bottom"/>
            <w:gridSpan w:val="13"/>
          </w:tcPr>
          <w:p>
            <w:pPr>
              <w:spacing w:after="0"/>
              <w:rPr>
                <w:sz w:val="24"/>
                <w:szCs w:val="24"/>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00" w:type="dxa"/>
            <w:vAlign w:val="bottom"/>
            <w:tcBorders>
              <w:bottom w:val="single" w:sz="8" w:color="0000FF"/>
            </w:tcBorders>
            <w:gridSpan w:val="24"/>
          </w:tcPr>
          <w:p>
            <w:pPr>
              <w:spacing w:after="0" w:line="196"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Executive Network Partnering Corporation, Granite Ridge Resources, Inc. and Continental Stock</w:t>
              </w:r>
            </w:hyperlink>
          </w:p>
        </w:tc>
        <w:tc>
          <w:tcPr>
            <w:tcW w:w="180" w:type="dxa"/>
            <w:vAlign w:val="bottom"/>
            <w:gridSpan w:val="6"/>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60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57">
              <w:r>
                <w:rPr>
                  <w:rFonts w:ascii="Times New Roman" w:cs="Times New Roman" w:eastAsia="Times New Roman" w:hAnsi="Times New Roman"/>
                  <w:sz w:val="18"/>
                  <w:szCs w:val="18"/>
                  <w:color w:val="0000FF"/>
                  <w:w w:val="99"/>
                </w:rPr>
                <w:t>Transfer &amp; Trust Company and Granite Ridge Resources, Inc. (incorporated by reference to</w:t>
              </w:r>
            </w:hyperlink>
          </w:p>
        </w:tc>
        <w:tc>
          <w:tcPr>
            <w:tcW w:w="580" w:type="dxa"/>
            <w:vAlign w:val="bottom"/>
            <w:gridSpan w:val="18"/>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80" w:type="dxa"/>
            <w:vAlign w:val="bottom"/>
            <w:gridSpan w:val="30"/>
          </w:tcPr>
          <w:p>
            <w:pPr>
              <w:spacing w:after="0" w:line="196" w:lineRule="exact"/>
              <w:rPr>
                <w:rFonts w:ascii="Times New Roman" w:cs="Times New Roman" w:eastAsia="Times New Roman" w:hAnsi="Times New Roman"/>
                <w:sz w:val="18"/>
                <w:szCs w:val="18"/>
                <w:color w:val="0000FF"/>
              </w:rPr>
            </w:pPr>
            <w:hyperlink r:id="rId57">
              <w:r>
                <w:rPr>
                  <w:rFonts w:ascii="Times New Roman" w:cs="Times New Roman" w:eastAsia="Times New Roman" w:hAnsi="Times New Roman"/>
                  <w:sz w:val="18"/>
                  <w:szCs w:val="18"/>
                  <w:color w:val="0000FF"/>
                </w:rPr>
                <w:t>Exhibit 4.5 to the Company’s Current Report on Form 8-K filed with the SEC on October 28,</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gridSpan w:val="3"/>
          </w:tcPr>
          <w:p>
            <w:pPr>
              <w:ind w:left="280"/>
              <w:spacing w:after="0" w:line="196" w:lineRule="exact"/>
              <w:rPr>
                <w:rFonts w:ascii="Times New Roman" w:cs="Times New Roman" w:eastAsia="Times New Roman" w:hAnsi="Times New Roman"/>
                <w:sz w:val="18"/>
                <w:szCs w:val="18"/>
                <w:color w:val="0000FF"/>
                <w:w w:val="94"/>
              </w:rPr>
            </w:pPr>
            <w:hyperlink r:id="rId57">
              <w:r>
                <w:rPr>
                  <w:rFonts w:ascii="Times New Roman" w:cs="Times New Roman" w:eastAsia="Times New Roman" w:hAnsi="Times New Roman"/>
                  <w:sz w:val="18"/>
                  <w:szCs w:val="18"/>
                  <w:color w:val="0000FF"/>
                  <w:w w:val="94"/>
                </w:rPr>
                <w:t>2022).</w:t>
              </w:r>
            </w:hyperlink>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1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900" w:type="dxa"/>
            <w:vAlign w:val="bottom"/>
            <w:gridSpan w:val="3"/>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304"/>
        </w:trPr>
        <w:tc>
          <w:tcPr>
            <w:tcW w:w="128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10.1</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80" w:type="dxa"/>
            <w:vAlign w:val="bottom"/>
            <w:gridSpan w:val="30"/>
          </w:tcPr>
          <w:p>
            <w:pPr>
              <w:spacing w:after="0"/>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Registration Rights Agreement and Lock-Up Agreement, dated October 24, 2022 by and among</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gridSpan w:val="3"/>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58">
              <w:r>
                <w:rPr>
                  <w:rFonts w:ascii="Times New Roman" w:cs="Times New Roman" w:eastAsia="Times New Roman" w:hAnsi="Times New Roman"/>
                  <w:sz w:val="18"/>
                  <w:szCs w:val="18"/>
                  <w:color w:val="0000FF"/>
                  <w:w w:val="99"/>
                </w:rPr>
                <w:t>Granite Ridge Resources, Inc., ENPC Holdings II, LLC and the other Holders (as defined therein)</w:t>
              </w:r>
            </w:hyperlink>
          </w:p>
        </w:tc>
        <w:tc>
          <w:tcPr>
            <w:tcW w:w="12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80" w:type="dxa"/>
            <w:vAlign w:val="bottom"/>
            <w:gridSpan w:val="30"/>
          </w:tcPr>
          <w:p>
            <w:pPr>
              <w:spacing w:after="0" w:line="19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listed thereto (incorporated by reference to Exhibit 10.1 to the Company’s Current Report on Form</w:t>
              </w:r>
            </w:hyperlink>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00" w:type="dxa"/>
            <w:vAlign w:val="bottom"/>
            <w:tcBorders>
              <w:top w:val="single" w:sz="8" w:color="0000FF"/>
            </w:tcBorders>
            <w:gridSpan w:val="28"/>
          </w:tcPr>
          <w:p>
            <w:pPr>
              <w:spacing w:after="0" w:line="196" w:lineRule="exact"/>
              <w:rPr>
                <w:rFonts w:ascii="Times New Roman" w:cs="Times New Roman" w:eastAsia="Times New Roman" w:hAnsi="Times New Roman"/>
                <w:sz w:val="18"/>
                <w:szCs w:val="18"/>
                <w:color w:val="0000FF"/>
              </w:rPr>
            </w:pPr>
            <w:hyperlink r:id="rId58">
              <w:r>
                <w:rPr>
                  <w:rFonts w:ascii="Times New Roman" w:cs="Times New Roman" w:eastAsia="Times New Roman" w:hAnsi="Times New Roman"/>
                  <w:sz w:val="18"/>
                  <w:szCs w:val="18"/>
                  <w:color w:val="0000FF"/>
                </w:rPr>
                <w:t>8-K filed with the SEC on October 28, 2022).</w:t>
              </w:r>
            </w:hyperlink>
          </w:p>
        </w:tc>
        <w:tc>
          <w:tcPr>
            <w:tcW w:w="80" w:type="dxa"/>
            <w:vAlign w:val="bottom"/>
            <w:gridSpan w:val="2"/>
          </w:tcPr>
          <w:p>
            <w:pPr>
              <w:spacing w:after="0"/>
              <w:rPr>
                <w:sz w:val="17"/>
                <w:szCs w:val="17"/>
                <w:color w:val="auto"/>
              </w:rPr>
            </w:pPr>
          </w:p>
        </w:tc>
      </w:tr>
      <w:tr>
        <w:trPr>
          <w:trHeight w:val="20"/>
        </w:trPr>
        <w:tc>
          <w:tcPr>
            <w:tcW w:w="1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900" w:type="dxa"/>
            <w:vAlign w:val="bottom"/>
            <w:gridSpan w:val="3"/>
            <w:shd w:val="clear" w:color="auto" w:fill="0000FF"/>
          </w:tcPr>
          <w:p>
            <w:pPr>
              <w:spacing w:after="0" w:line="20" w:lineRule="exact"/>
              <w:rPr>
                <w:sz w:val="1"/>
                <w:szCs w:val="1"/>
                <w:color w:val="auto"/>
              </w:rPr>
            </w:pPr>
          </w:p>
        </w:tc>
        <w:tc>
          <w:tcPr>
            <w:tcW w:w="29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128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10.2</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80" w:type="dxa"/>
            <w:vAlign w:val="bottom"/>
            <w:gridSpan w:val="30"/>
          </w:tcPr>
          <w:p>
            <w:pPr>
              <w:spacing w:after="0"/>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Management Services Agreement, dated October 24, 2022 by and between Granite Ridge</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20" w:type="dxa"/>
            <w:vAlign w:val="bottom"/>
            <w:gridSpan w:val="4"/>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60" w:type="dxa"/>
            <w:vAlign w:val="bottom"/>
            <w:tcBorders>
              <w:bottom w:val="single" w:sz="8" w:color="0000FF"/>
            </w:tcBorders>
            <w:gridSpan w:val="27"/>
          </w:tcPr>
          <w:p>
            <w:pPr>
              <w:spacing w:after="0" w:line="196" w:lineRule="exact"/>
              <w:rPr>
                <w:rFonts w:ascii="Times New Roman" w:cs="Times New Roman" w:eastAsia="Times New Roman" w:hAnsi="Times New Roman"/>
                <w:sz w:val="18"/>
                <w:szCs w:val="18"/>
                <w:color w:val="0000FF"/>
                <w:w w:val="99"/>
              </w:rPr>
            </w:pPr>
            <w:hyperlink r:id="rId59">
              <w:r>
                <w:rPr>
                  <w:rFonts w:ascii="Times New Roman" w:cs="Times New Roman" w:eastAsia="Times New Roman" w:hAnsi="Times New Roman"/>
                  <w:sz w:val="18"/>
                  <w:szCs w:val="18"/>
                  <w:color w:val="0000FF"/>
                  <w:w w:val="99"/>
                </w:rPr>
                <w:t>Resources, Inc. and Grey Rock Administration, LLC (incorporated by reference to Exhibit 10.2 to</w:t>
              </w:r>
            </w:hyperlink>
          </w:p>
        </w:tc>
        <w:tc>
          <w:tcPr>
            <w:tcW w:w="12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80" w:type="dxa"/>
            <w:vAlign w:val="bottom"/>
            <w:gridSpan w:val="30"/>
          </w:tcPr>
          <w:p>
            <w:pPr>
              <w:spacing w:after="0" w:line="196" w:lineRule="exact"/>
              <w:rPr>
                <w:rFonts w:ascii="Times New Roman" w:cs="Times New Roman" w:eastAsia="Times New Roman" w:hAnsi="Times New Roman"/>
                <w:sz w:val="18"/>
                <w:szCs w:val="18"/>
                <w:color w:val="0000FF"/>
              </w:rPr>
            </w:pPr>
            <w:hyperlink r:id="rId59">
              <w:r>
                <w:rPr>
                  <w:rFonts w:ascii="Times New Roman" w:cs="Times New Roman" w:eastAsia="Times New Roman" w:hAnsi="Times New Roman"/>
                  <w:sz w:val="18"/>
                  <w:szCs w:val="18"/>
                  <w:color w:val="0000FF"/>
                </w:rPr>
                <w:t>the Company’s Current Report on Form 8-K filed with the SEC on October 28, 2022).</w:t>
              </w:r>
            </w:hyperlink>
          </w:p>
        </w:tc>
      </w:tr>
      <w:tr>
        <w:trPr>
          <w:trHeight w:val="20"/>
        </w:trPr>
        <w:tc>
          <w:tcPr>
            <w:tcW w:w="128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820" w:type="dxa"/>
            <w:vAlign w:val="bottom"/>
            <w:gridSpan w:val="4"/>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128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w w:val="98"/>
              </w:rPr>
              <w:t>10.3#</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80" w:type="dxa"/>
            <w:vAlign w:val="bottom"/>
            <w:gridSpan w:val="30"/>
          </w:tcPr>
          <w:p>
            <w:pPr>
              <w:spacing w:after="0"/>
              <w:rPr>
                <w:rFonts w:ascii="Times New Roman" w:cs="Times New Roman" w:eastAsia="Times New Roman" w:hAnsi="Times New Roman"/>
                <w:sz w:val="18"/>
                <w:szCs w:val="18"/>
                <w:color w:val="0000FF"/>
              </w:rPr>
            </w:pPr>
            <w:hyperlink r:id="rId60">
              <w:r>
                <w:rPr>
                  <w:rFonts w:ascii="Times New Roman" w:cs="Times New Roman" w:eastAsia="Times New Roman" w:hAnsi="Times New Roman"/>
                  <w:sz w:val="18"/>
                  <w:szCs w:val="18"/>
                  <w:color w:val="0000FF"/>
                </w:rPr>
                <w:t>Granite Ridge Resources, Inc. 2022 Omnibus Incentive Plan (incorporated by reference to Exhibit</w:t>
              </w:r>
            </w:hyperlink>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760" w:type="dxa"/>
            <w:vAlign w:val="bottom"/>
            <w:tcBorders>
              <w:top w:val="single" w:sz="8" w:color="0000FF"/>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60">
              <w:r>
                <w:rPr>
                  <w:rFonts w:ascii="Times New Roman" w:cs="Times New Roman" w:eastAsia="Times New Roman" w:hAnsi="Times New Roman"/>
                  <w:sz w:val="18"/>
                  <w:szCs w:val="18"/>
                  <w:color w:val="0000FF"/>
                  <w:w w:val="99"/>
                </w:rPr>
                <w:t>10.</w:t>
              </w:r>
              <w:r>
                <w:rPr>
                  <w:rFonts w:ascii="Times New Roman" w:cs="Times New Roman" w:eastAsia="Times New Roman" w:hAnsi="Times New Roman"/>
                  <w:sz w:val="18"/>
                  <w:szCs w:val="18"/>
                  <w:u w:val="single" w:color="auto"/>
                  <w:color w:val="0000FF"/>
                  <w:w w:val="99"/>
                </w:rPr>
                <w:t>3</w:t>
              </w:r>
              <w:r>
                <w:rPr>
                  <w:rFonts w:ascii="Times New Roman" w:cs="Times New Roman" w:eastAsia="Times New Roman" w:hAnsi="Times New Roman"/>
                  <w:sz w:val="18"/>
                  <w:szCs w:val="18"/>
                  <w:color w:val="0000FF"/>
                  <w:w w:val="99"/>
                </w:rPr>
                <w:t xml:space="preserve"> to the Company’s Current Report on Form 8-K filed with the SEC on October 28, 2022).</w:t>
              </w:r>
            </w:hyperlink>
          </w:p>
        </w:tc>
        <w:tc>
          <w:tcPr>
            <w:tcW w:w="300" w:type="dxa"/>
            <w:vAlign w:val="bottom"/>
            <w:tcBorders>
              <w:top w:val="single" w:sz="8" w:color="0000FF"/>
            </w:tcBorders>
            <w:gridSpan w:val="10"/>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304"/>
        </w:trPr>
        <w:tc>
          <w:tcPr>
            <w:tcW w:w="128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10.4</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80" w:type="dxa"/>
            <w:vAlign w:val="bottom"/>
            <w:gridSpan w:val="30"/>
          </w:tcPr>
          <w:p>
            <w:pPr>
              <w:spacing w:after="0"/>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Credit Agreement, dated October 24, 2022 by and among Granite Ridge Resources, Inc., as</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00" w:type="dxa"/>
            <w:vAlign w:val="bottom"/>
            <w:gridSpan w:val="6"/>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80" w:type="dxa"/>
            <w:vAlign w:val="bottom"/>
            <w:gridSpan w:val="30"/>
          </w:tcPr>
          <w:p>
            <w:pPr>
              <w:spacing w:after="0" w:line="19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borrower, Texas Capital Bank, as administrative agent and the lenders party thereto (incorporated</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5260" w:type="dxa"/>
            <w:vAlign w:val="bottom"/>
            <w:gridSpan w:val="9"/>
            <w:shd w:val="clear" w:color="auto" w:fill="0000FF"/>
          </w:tcPr>
          <w:p>
            <w:pPr>
              <w:spacing w:after="0" w:line="20" w:lineRule="exact"/>
              <w:rPr>
                <w:sz w:val="1"/>
                <w:szCs w:val="1"/>
                <w:color w:val="auto"/>
              </w:rPr>
            </w:pPr>
          </w:p>
        </w:tc>
        <w:tc>
          <w:tcPr>
            <w:tcW w:w="100" w:type="dxa"/>
            <w:vAlign w:val="bottom"/>
            <w:gridSpan w:val="2"/>
            <w:shd w:val="clear" w:color="auto" w:fill="0000FF"/>
          </w:tcPr>
          <w:p>
            <w:pPr>
              <w:spacing w:after="0" w:line="20" w:lineRule="exact"/>
              <w:rPr>
                <w:sz w:val="1"/>
                <w:szCs w:val="1"/>
                <w:color w:val="auto"/>
              </w:rPr>
            </w:pPr>
          </w:p>
        </w:tc>
        <w:tc>
          <w:tcPr>
            <w:tcW w:w="80" w:type="dxa"/>
            <w:vAlign w:val="bottom"/>
            <w:gridSpan w:val="3"/>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80" w:type="dxa"/>
            <w:vAlign w:val="bottom"/>
            <w:gridSpan w:val="30"/>
          </w:tcPr>
          <w:p>
            <w:pPr>
              <w:spacing w:after="0" w:line="196" w:lineRule="exact"/>
              <w:rPr>
                <w:rFonts w:ascii="Times New Roman" w:cs="Times New Roman" w:eastAsia="Times New Roman" w:hAnsi="Times New Roman"/>
                <w:sz w:val="18"/>
                <w:szCs w:val="18"/>
                <w:color w:val="0000FF"/>
              </w:rPr>
            </w:pPr>
            <w:hyperlink r:id="rId61">
              <w:r>
                <w:rPr>
                  <w:rFonts w:ascii="Times New Roman" w:cs="Times New Roman" w:eastAsia="Times New Roman" w:hAnsi="Times New Roman"/>
                  <w:sz w:val="18"/>
                  <w:szCs w:val="18"/>
                  <w:color w:val="0000FF"/>
                </w:rPr>
                <w:t>by reference to Exhibit 10.4 to the Company’s Current Report on Form 8-K filed with the SEC on</w:t>
              </w:r>
            </w:hyperlink>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80" w:type="dxa"/>
            <w:vAlign w:val="bottom"/>
            <w:tcBorders>
              <w:top w:val="single" w:sz="8" w:color="0000FF"/>
              <w:bottom w:val="single" w:sz="8" w:color="0000FF"/>
            </w:tcBorders>
            <w:gridSpan w:val="5"/>
          </w:tcPr>
          <w:p>
            <w:pPr>
              <w:spacing w:after="0" w:line="196" w:lineRule="exact"/>
              <w:rPr>
                <w:rFonts w:ascii="Times New Roman" w:cs="Times New Roman" w:eastAsia="Times New Roman" w:hAnsi="Times New Roman"/>
                <w:sz w:val="18"/>
                <w:szCs w:val="18"/>
                <w:color w:val="0000FF"/>
                <w:w w:val="99"/>
              </w:rPr>
            </w:pPr>
            <w:hyperlink r:id="rId61">
              <w:r>
                <w:rPr>
                  <w:rFonts w:ascii="Times New Roman" w:cs="Times New Roman" w:eastAsia="Times New Roman" w:hAnsi="Times New Roman"/>
                  <w:sz w:val="18"/>
                  <w:szCs w:val="18"/>
                  <w:color w:val="0000FF"/>
                  <w:w w:val="99"/>
                </w:rPr>
                <w:t>October 28, 2022).</w:t>
              </w:r>
            </w:hyperlink>
          </w:p>
        </w:tc>
        <w:tc>
          <w:tcPr>
            <w:tcW w:w="5660" w:type="dxa"/>
            <w:vAlign w:val="bottom"/>
            <w:tcBorders>
              <w:top w:val="single" w:sz="8" w:color="0000FF"/>
            </w:tcBorders>
            <w:gridSpan w:val="21"/>
          </w:tcPr>
          <w:p>
            <w:pPr>
              <w:spacing w:after="0"/>
              <w:rPr>
                <w:sz w:val="17"/>
                <w:szCs w:val="17"/>
                <w:color w:val="auto"/>
              </w:rPr>
            </w:pPr>
          </w:p>
        </w:tc>
        <w:tc>
          <w:tcPr>
            <w:tcW w:w="140" w:type="dxa"/>
            <w:vAlign w:val="bottom"/>
            <w:gridSpan w:val="4"/>
          </w:tcPr>
          <w:p>
            <w:pPr>
              <w:spacing w:after="0"/>
              <w:rPr>
                <w:sz w:val="17"/>
                <w:szCs w:val="17"/>
                <w:color w:val="auto"/>
              </w:rPr>
            </w:pPr>
          </w:p>
        </w:tc>
      </w:tr>
      <w:tr>
        <w:trPr>
          <w:trHeight w:val="304"/>
        </w:trPr>
        <w:tc>
          <w:tcPr>
            <w:tcW w:w="1280" w:type="dxa"/>
            <w:vAlign w:val="bottom"/>
            <w:gridSpan w:val="3"/>
          </w:tcPr>
          <w:p>
            <w:pPr>
              <w:jc w:val="center"/>
              <w:ind w:left="470"/>
              <w:spacing w:after="0"/>
              <w:rPr>
                <w:sz w:val="20"/>
                <w:szCs w:val="20"/>
                <w:color w:val="auto"/>
              </w:rPr>
            </w:pPr>
            <w:r>
              <w:rPr>
                <w:rFonts w:ascii="Times New Roman" w:cs="Times New Roman" w:eastAsia="Times New Roman" w:hAnsi="Times New Roman"/>
                <w:sz w:val="18"/>
                <w:szCs w:val="18"/>
                <w:color w:val="auto"/>
              </w:rPr>
              <w:t>10.5</w:t>
            </w: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80" w:type="dxa"/>
            <w:vAlign w:val="bottom"/>
            <w:gridSpan w:val="30"/>
          </w:tcPr>
          <w:p>
            <w:pPr>
              <w:spacing w:after="0"/>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Sponsor Agreement, dated as of May 16, 2022, by and among ENPC Holdings, LLC, ENPC</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5280" w:type="dxa"/>
            <w:vAlign w:val="bottom"/>
            <w:gridSpan w:val="10"/>
            <w:shd w:val="clear" w:color="auto" w:fill="0000FF"/>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80" w:type="dxa"/>
            <w:vAlign w:val="bottom"/>
            <w:gridSpan w:val="30"/>
          </w:tcPr>
          <w:p>
            <w:pPr>
              <w:spacing w:after="0" w:line="19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Holdings II, LLC, Executive Network Partnering Corporation, Granite Ridge Resources, Inc.,</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5380" w:type="dxa"/>
            <w:vAlign w:val="bottom"/>
            <w:gridSpan w:val="12"/>
            <w:shd w:val="clear" w:color="auto" w:fill="0000FF"/>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80" w:type="dxa"/>
            <w:vAlign w:val="bottom"/>
            <w:gridSpan w:val="30"/>
          </w:tcPr>
          <w:p>
            <w:pPr>
              <w:spacing w:after="0" w:line="19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GREP Holdings, LLC and certain other parties thereto (incorporated by reference to Annex D of</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60" w:type="dxa"/>
            <w:vAlign w:val="bottom"/>
            <w:gridSpan w:val="4"/>
            <w:shd w:val="clear" w:color="auto" w:fill="0000FF"/>
          </w:tcPr>
          <w:p>
            <w:pPr>
              <w:spacing w:after="0" w:line="20" w:lineRule="exact"/>
              <w:rPr>
                <w:sz w:val="1"/>
                <w:szCs w:val="1"/>
                <w:color w:val="auto"/>
              </w:rPr>
            </w:pPr>
          </w:p>
        </w:tc>
        <w:tc>
          <w:tcPr>
            <w:tcW w:w="5460" w:type="dxa"/>
            <w:vAlign w:val="bottom"/>
            <w:gridSpan w:val="15"/>
            <w:shd w:val="clear" w:color="auto" w:fill="0000FF"/>
          </w:tcPr>
          <w:p>
            <w:pPr>
              <w:spacing w:after="0" w:line="20" w:lineRule="exact"/>
              <w:rPr>
                <w:sz w:val="1"/>
                <w:szCs w:val="1"/>
                <w:color w:val="auto"/>
              </w:rPr>
            </w:pPr>
          </w:p>
        </w:tc>
        <w:tc>
          <w:tcPr>
            <w:tcW w:w="100" w:type="dxa"/>
            <w:vAlign w:val="bottom"/>
            <w:gridSpan w:val="4"/>
            <w:shd w:val="clear" w:color="auto" w:fill="0000FF"/>
          </w:tcPr>
          <w:p>
            <w:pPr>
              <w:spacing w:after="0" w:line="20" w:lineRule="exact"/>
              <w:rPr>
                <w:sz w:val="1"/>
                <w:szCs w:val="1"/>
                <w:color w:val="auto"/>
              </w:rPr>
            </w:pPr>
          </w:p>
        </w:tc>
        <w:tc>
          <w:tcPr>
            <w:tcW w:w="140" w:type="dxa"/>
            <w:vAlign w:val="bottom"/>
            <w:tcBorders>
              <w:left w:val="single" w:sz="8" w:color="0000FF"/>
            </w:tcBorders>
            <w:gridSpan w:val="4"/>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80" w:type="dxa"/>
            <w:vAlign w:val="bottom"/>
            <w:gridSpan w:val="30"/>
          </w:tcPr>
          <w:p>
            <w:pPr>
              <w:spacing w:after="0" w:line="196" w:lineRule="exact"/>
              <w:rPr>
                <w:rFonts w:ascii="Times New Roman" w:cs="Times New Roman" w:eastAsia="Times New Roman" w:hAnsi="Times New Roman"/>
                <w:sz w:val="18"/>
                <w:szCs w:val="18"/>
                <w:color w:val="0000FF"/>
              </w:rPr>
            </w:pPr>
            <w:hyperlink r:id="rId62">
              <w:r>
                <w:rPr>
                  <w:rFonts w:ascii="Times New Roman" w:cs="Times New Roman" w:eastAsia="Times New Roman" w:hAnsi="Times New Roman"/>
                  <w:sz w:val="18"/>
                  <w:szCs w:val="18"/>
                  <w:color w:val="0000FF"/>
                </w:rPr>
                <w:t>Granite Ridge Resources, Inc.’s Registration Statement on Form S-4, filed with the SEC on May</w:t>
              </w:r>
            </w:hyperlink>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9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gridSpan w:val="4"/>
          </w:tcPr>
          <w:p>
            <w:pPr>
              <w:ind w:left="280"/>
              <w:spacing w:after="0" w:line="196" w:lineRule="exact"/>
              <w:rPr>
                <w:rFonts w:ascii="Times New Roman" w:cs="Times New Roman" w:eastAsia="Times New Roman" w:hAnsi="Times New Roman"/>
                <w:sz w:val="18"/>
                <w:szCs w:val="18"/>
                <w:color w:val="0000FF"/>
                <w:w w:val="97"/>
              </w:rPr>
            </w:pPr>
            <w:hyperlink r:id="rId62">
              <w:r>
                <w:rPr>
                  <w:rFonts w:ascii="Times New Roman" w:cs="Times New Roman" w:eastAsia="Times New Roman" w:hAnsi="Times New Roman"/>
                  <w:sz w:val="18"/>
                  <w:szCs w:val="18"/>
                  <w:color w:val="0000FF"/>
                  <w:w w:val="97"/>
                </w:rPr>
                <w:t>16, 2022).</w:t>
              </w:r>
            </w:hyperlink>
          </w:p>
        </w:tc>
        <w:tc>
          <w:tcPr>
            <w:tcW w:w="6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9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40" w:type="dxa"/>
            <w:vAlign w:val="bottom"/>
            <w:gridSpan w:val="3"/>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60" w:type="dxa"/>
            <w:vAlign w:val="bottom"/>
            <w:gridSpan w:val="15"/>
          </w:tcPr>
          <w:p>
            <w:pPr>
              <w:spacing w:after="0" w:line="20" w:lineRule="exact"/>
              <w:rPr>
                <w:sz w:val="1"/>
                <w:szCs w:val="1"/>
                <w:color w:val="auto"/>
              </w:rPr>
            </w:pPr>
          </w:p>
        </w:tc>
        <w:tc>
          <w:tcPr>
            <w:tcW w:w="240" w:type="dxa"/>
            <w:vAlign w:val="bottom"/>
            <w:gridSpan w:val="8"/>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r>
      <w:tr>
        <w:trPr>
          <w:trHeight w:val="304"/>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F10.6</w:t>
            </w:r>
          </w:p>
        </w:tc>
        <w:tc>
          <w:tcPr>
            <w:tcW w:w="280" w:type="dxa"/>
            <w:vAlign w:val="bottom"/>
          </w:tcPr>
          <w:p>
            <w:pPr>
              <w:spacing w:after="0"/>
              <w:rPr>
                <w:sz w:val="24"/>
                <w:szCs w:val="24"/>
                <w:color w:val="auto"/>
              </w:rPr>
            </w:pPr>
          </w:p>
        </w:tc>
        <w:tc>
          <w:tcPr>
            <w:tcW w:w="7180" w:type="dxa"/>
            <w:vAlign w:val="bottom"/>
            <w:gridSpan w:val="30"/>
          </w:tcPr>
          <w:p>
            <w:pPr>
              <w:spacing w:after="0"/>
              <w:rPr>
                <w:rFonts w:ascii="Times New Roman" w:cs="Times New Roman" w:eastAsia="Times New Roman" w:hAnsi="Times New Roman"/>
                <w:sz w:val="18"/>
                <w:szCs w:val="18"/>
                <w:color w:val="0000FF"/>
              </w:rPr>
            </w:pPr>
            <w:hyperlink r:id="rId63">
              <w:r>
                <w:rPr>
                  <w:rFonts w:ascii="Times New Roman" w:cs="Times New Roman" w:eastAsia="Times New Roman" w:hAnsi="Times New Roman"/>
                  <w:sz w:val="18"/>
                  <w:szCs w:val="18"/>
                  <w:color w:val="0000FF"/>
                </w:rPr>
                <w:t>Form of Indemnity Agreement for Directors Affiliated with the Grey Rock funds (incorporated by</w:t>
              </w:r>
            </w:hyperlink>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20" w:type="dxa"/>
            <w:vAlign w:val="bottom"/>
            <w:tcBorders>
              <w:top w:val="single" w:sz="8" w:color="0000FF"/>
              <w:bottom w:val="single" w:sz="8" w:color="0000FF"/>
            </w:tcBorders>
            <w:gridSpan w:val="19"/>
          </w:tcPr>
          <w:p>
            <w:pPr>
              <w:spacing w:after="0" w:line="196" w:lineRule="exact"/>
              <w:rPr>
                <w:rFonts w:ascii="Times New Roman" w:cs="Times New Roman" w:eastAsia="Times New Roman" w:hAnsi="Times New Roman"/>
                <w:sz w:val="18"/>
                <w:szCs w:val="18"/>
                <w:color w:val="0000FF"/>
                <w:w w:val="99"/>
              </w:rPr>
            </w:pPr>
            <w:hyperlink r:id="rId63">
              <w:r>
                <w:rPr>
                  <w:rFonts w:ascii="Times New Roman" w:cs="Times New Roman" w:eastAsia="Times New Roman" w:hAnsi="Times New Roman"/>
                  <w:sz w:val="18"/>
                  <w:szCs w:val="18"/>
                  <w:color w:val="0000FF"/>
                  <w:w w:val="99"/>
                </w:rPr>
                <w:t>reference to Exhibit 10.6 to the Company’s Current Report on Form 8-K filed with the SEC on</w:t>
              </w:r>
            </w:hyperlink>
          </w:p>
        </w:tc>
        <w:tc>
          <w:tcPr>
            <w:tcW w:w="240" w:type="dxa"/>
            <w:vAlign w:val="bottom"/>
            <w:tcBorders>
              <w:top w:val="single" w:sz="8" w:color="0000FF"/>
            </w:tcBorders>
            <w:gridSpan w:val="8"/>
          </w:tcPr>
          <w:p>
            <w:pPr>
              <w:spacing w:after="0"/>
              <w:rPr>
                <w:sz w:val="17"/>
                <w:szCs w:val="17"/>
                <w:color w:val="auto"/>
              </w:rPr>
            </w:pPr>
          </w:p>
        </w:tc>
        <w:tc>
          <w:tcPr>
            <w:tcW w:w="120" w:type="dxa"/>
            <w:vAlign w:val="bottom"/>
            <w:gridSpan w:val="3"/>
          </w:tcPr>
          <w:p>
            <w:pPr>
              <w:spacing w:after="0"/>
              <w:rPr>
                <w:sz w:val="17"/>
                <w:szCs w:val="17"/>
                <w:color w:val="auto"/>
              </w:rPr>
            </w:pPr>
          </w:p>
        </w:tc>
      </w:tr>
      <w:tr>
        <w:trPr>
          <w:trHeight w:val="196"/>
        </w:trPr>
        <w:tc>
          <w:tcPr>
            <w:tcW w:w="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Borders>
              <w:bottom w:val="single" w:sz="8" w:color="0000FF"/>
            </w:tcBorders>
            <w:gridSpan w:val="4"/>
          </w:tcPr>
          <w:p>
            <w:pPr>
              <w:spacing w:after="0" w:line="196" w:lineRule="exact"/>
              <w:rPr>
                <w:rFonts w:ascii="Times New Roman" w:cs="Times New Roman" w:eastAsia="Times New Roman" w:hAnsi="Times New Roman"/>
                <w:sz w:val="18"/>
                <w:szCs w:val="18"/>
                <w:color w:val="0000FF"/>
                <w:w w:val="98"/>
              </w:rPr>
            </w:pPr>
            <w:hyperlink r:id="rId63">
              <w:r>
                <w:rPr>
                  <w:rFonts w:ascii="Times New Roman" w:cs="Times New Roman" w:eastAsia="Times New Roman" w:hAnsi="Times New Roman"/>
                  <w:sz w:val="18"/>
                  <w:szCs w:val="18"/>
                  <w:color w:val="0000FF"/>
                  <w:w w:val="98"/>
                </w:rPr>
                <w:t>October 28, 2022).</w:t>
              </w:r>
            </w:hyperlink>
          </w:p>
        </w:tc>
        <w:tc>
          <w:tcPr>
            <w:tcW w:w="5820" w:type="dxa"/>
            <w:vAlign w:val="bottom"/>
            <w:gridSpan w:val="26"/>
          </w:tcPr>
          <w:p>
            <w:pPr>
              <w:spacing w:after="0"/>
              <w:rPr>
                <w:sz w:val="17"/>
                <w:szCs w:val="17"/>
                <w:color w:val="auto"/>
              </w:rPr>
            </w:pPr>
          </w:p>
        </w:tc>
      </w:tr>
      <w:tr>
        <w:trPr>
          <w:trHeight w:val="776"/>
        </w:trPr>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540" w:type="dxa"/>
            <w:vAlign w:val="bottom"/>
            <w:gridSpan w:val="8"/>
          </w:tcPr>
          <w:p>
            <w:pPr>
              <w:ind w:left="2920"/>
              <w:spacing w:after="0"/>
              <w:rPr>
                <w:sz w:val="20"/>
                <w:szCs w:val="20"/>
                <w:color w:val="auto"/>
              </w:rPr>
            </w:pPr>
            <w:r>
              <w:rPr>
                <w:rFonts w:ascii="Times New Roman" w:cs="Times New Roman" w:eastAsia="Times New Roman" w:hAnsi="Times New Roman"/>
                <w:sz w:val="18"/>
                <w:szCs w:val="18"/>
                <w:color w:val="auto"/>
              </w:rPr>
              <w:t>38</w:t>
            </w:r>
          </w:p>
        </w:tc>
        <w:tc>
          <w:tcPr>
            <w:tcW w:w="2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560"/>
        </w:trPr>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648" w:right="1440" w:bottom="1440" w:gutter="0" w:footer="0" w:header="0"/>
        </w:sectPr>
      </w:pPr>
    </w:p>
    <w:bookmarkStart w:id="41" w:name="page42"/>
    <w:bookmarkEnd w:id="41"/>
    <w:p>
      <w:pPr>
        <w:spacing w:after="0" w:line="1" w:lineRule="exact"/>
        <w:rPr>
          <w:sz w:val="20"/>
          <w:szCs w:val="20"/>
          <w:color w:val="auto"/>
        </w:rPr>
      </w:pPr>
    </w:p>
    <w:tbl>
      <w:tblPr>
        <w:tblLayout w:type="fixed"/>
        <w:tblInd w:w="60" w:type="dxa"/>
        <w:tblCellMar>
          <w:top w:w="0" w:type="dxa"/>
          <w:left w:w="0" w:type="dxa"/>
          <w:bottom w:w="0" w:type="dxa"/>
          <w:right w:w="0" w:type="dxa"/>
        </w:tblCellMar>
      </w:tblPr>
      <w:tr>
        <w:trPr>
          <w:trHeight w:val="207"/>
        </w:trPr>
        <w:tc>
          <w:tcPr>
            <w:tcW w:w="130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7"/>
              </w:rPr>
              <w:t>Table of Contents</w:t>
            </w: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790"/>
        </w:trPr>
        <w:tc>
          <w:tcPr>
            <w:tcW w:w="360" w:type="dxa"/>
            <w:vAlign w:val="bottom"/>
          </w:tcPr>
          <w:p>
            <w:pPr>
              <w:spacing w:after="0"/>
              <w:rPr>
                <w:sz w:val="24"/>
                <w:szCs w:val="24"/>
                <w:color w:val="auto"/>
              </w:rPr>
            </w:pPr>
          </w:p>
        </w:tc>
        <w:tc>
          <w:tcPr>
            <w:tcW w:w="1080" w:type="dxa"/>
            <w:vAlign w:val="bottom"/>
            <w:tcBorders>
              <w:bottom w:val="single" w:sz="8" w:color="auto"/>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4740" w:type="dxa"/>
            <w:vAlign w:val="bottom"/>
            <w:tcBorders>
              <w:bottom w:val="single" w:sz="8" w:color="auto"/>
            </w:tcBorders>
            <w:gridSpan w:val="17"/>
          </w:tcPr>
          <w:p>
            <w:pPr>
              <w:ind w:left="7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360" w:type="dxa"/>
            <w:vAlign w:val="bottom"/>
          </w:tcPr>
          <w:p>
            <w:pPr>
              <w:spacing w:after="0"/>
              <w:rPr>
                <w:sz w:val="14"/>
                <w:szCs w:val="14"/>
                <w:color w:val="auto"/>
              </w:rPr>
            </w:pPr>
          </w:p>
        </w:tc>
        <w:tc>
          <w:tcPr>
            <w:tcW w:w="900" w:type="dxa"/>
            <w:vAlign w:val="bottom"/>
            <w:gridSpan w:val="3"/>
          </w:tcPr>
          <w:p>
            <w:pPr>
              <w:jc w:val="center"/>
              <w:ind w:left="90"/>
              <w:spacing w:after="0" w:line="169" w:lineRule="exact"/>
              <w:rPr>
                <w:sz w:val="20"/>
                <w:szCs w:val="20"/>
                <w:color w:val="auto"/>
              </w:rPr>
            </w:pPr>
            <w:r>
              <w:rPr>
                <w:rFonts w:ascii="Times New Roman" w:cs="Times New Roman" w:eastAsia="Times New Roman" w:hAnsi="Times New Roman"/>
                <w:sz w:val="18"/>
                <w:szCs w:val="18"/>
                <w:color w:val="auto"/>
              </w:rPr>
              <w:t>10.7</w:t>
            </w:r>
          </w:p>
        </w:tc>
        <w:tc>
          <w:tcPr>
            <w:tcW w:w="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0" w:type="dxa"/>
            <w:vAlign w:val="bottom"/>
            <w:tcBorders>
              <w:bottom w:val="single" w:sz="8" w:color="0000FF"/>
            </w:tcBorders>
          </w:tcPr>
          <w:p>
            <w:pPr>
              <w:spacing w:after="0"/>
              <w:rPr>
                <w:sz w:val="14"/>
                <w:szCs w:val="14"/>
                <w:color w:val="auto"/>
              </w:rPr>
            </w:pPr>
          </w:p>
        </w:tc>
        <w:tc>
          <w:tcPr>
            <w:tcW w:w="6840" w:type="dxa"/>
            <w:vAlign w:val="bottom"/>
            <w:tcBorders>
              <w:bottom w:val="single" w:sz="8" w:color="0000FF"/>
            </w:tcBorders>
            <w:gridSpan w:val="12"/>
          </w:tcPr>
          <w:p>
            <w:pPr>
              <w:spacing w:after="0" w:line="169"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Form of Indemnity Agreement for Officers and Outside Directors (incorporated by reference to</w:t>
              </w:r>
            </w:hyperlink>
          </w:p>
        </w:tc>
        <w:tc>
          <w:tcPr>
            <w:tcW w:w="260" w:type="dxa"/>
            <w:vAlign w:val="bottom"/>
            <w:gridSpan w:val="7"/>
          </w:tcPr>
          <w:p>
            <w:pPr>
              <w:spacing w:after="0"/>
              <w:rPr>
                <w:sz w:val="14"/>
                <w:szCs w:val="14"/>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20" w:type="dxa"/>
            <w:vAlign w:val="bottom"/>
            <w:tcBorders>
              <w:bottom w:val="single" w:sz="8" w:color="0000FF"/>
            </w:tcBorders>
            <w:gridSpan w:val="12"/>
          </w:tcPr>
          <w:p>
            <w:pPr>
              <w:spacing w:after="0" w:line="196" w:lineRule="exact"/>
              <w:rPr>
                <w:rFonts w:ascii="Times New Roman" w:cs="Times New Roman" w:eastAsia="Times New Roman" w:hAnsi="Times New Roman"/>
                <w:sz w:val="18"/>
                <w:szCs w:val="18"/>
                <w:color w:val="0000FF"/>
                <w:w w:val="99"/>
              </w:rPr>
            </w:pPr>
            <w:hyperlink r:id="rId64">
              <w:r>
                <w:rPr>
                  <w:rFonts w:ascii="Times New Roman" w:cs="Times New Roman" w:eastAsia="Times New Roman" w:hAnsi="Times New Roman"/>
                  <w:sz w:val="18"/>
                  <w:szCs w:val="18"/>
                  <w:color w:val="0000FF"/>
                  <w:w w:val="99"/>
                </w:rPr>
                <w:t>Exhibit 10.7 to the Company’s Current Report on Form 8-K filed with the SEC on October 28,</w:t>
              </w:r>
            </w:hyperlink>
          </w:p>
        </w:tc>
        <w:tc>
          <w:tcPr>
            <w:tcW w:w="300" w:type="dxa"/>
            <w:vAlign w:val="bottom"/>
            <w:gridSpan w:val="8"/>
          </w:tcPr>
          <w:p>
            <w:pPr>
              <w:spacing w:after="0"/>
              <w:rPr>
                <w:sz w:val="17"/>
                <w:szCs w:val="17"/>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gridSpan w:val="3"/>
          </w:tcPr>
          <w:p>
            <w:pPr>
              <w:ind w:left="280"/>
              <w:spacing w:after="0" w:line="196" w:lineRule="exact"/>
              <w:rPr>
                <w:rFonts w:ascii="Times New Roman" w:cs="Times New Roman" w:eastAsia="Times New Roman" w:hAnsi="Times New Roman"/>
                <w:sz w:val="18"/>
                <w:szCs w:val="18"/>
                <w:color w:val="0000FF"/>
                <w:w w:val="94"/>
              </w:rPr>
            </w:pPr>
            <w:hyperlink r:id="rId64">
              <w:r>
                <w:rPr>
                  <w:rFonts w:ascii="Times New Roman" w:cs="Times New Roman" w:eastAsia="Times New Roman" w:hAnsi="Times New Roman"/>
                  <w:sz w:val="18"/>
                  <w:szCs w:val="18"/>
                  <w:color w:val="0000FF"/>
                  <w:w w:val="94"/>
                </w:rPr>
                <w:t>2022).</w:t>
              </w:r>
            </w:hyperlink>
          </w:p>
        </w:tc>
        <w:tc>
          <w:tcPr>
            <w:tcW w:w="19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26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color w:val="auto"/>
                <w:w w:val="98"/>
              </w:rPr>
              <w:t>10.8#</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20" w:type="dxa"/>
            <w:vAlign w:val="bottom"/>
            <w:gridSpan w:val="20"/>
          </w:tcPr>
          <w:p>
            <w:pPr>
              <w:spacing w:after="0"/>
              <w:rPr>
                <w:rFonts w:ascii="Times New Roman" w:cs="Times New Roman" w:eastAsia="Times New Roman" w:hAnsi="Times New Roman"/>
                <w:sz w:val="18"/>
                <w:szCs w:val="18"/>
                <w:color w:val="0000FF"/>
              </w:rPr>
            </w:pPr>
            <w:hyperlink r:id="rId65">
              <w:r>
                <w:rPr>
                  <w:rFonts w:ascii="Times New Roman" w:cs="Times New Roman" w:eastAsia="Times New Roman" w:hAnsi="Times New Roman"/>
                  <w:sz w:val="18"/>
                  <w:szCs w:val="18"/>
                  <w:color w:val="0000FF"/>
                </w:rPr>
                <w:t>Executive Employment Agreement between Luke C. Brandenberg and Granite Ridge Resources,</w:t>
              </w:r>
            </w:hyperlink>
          </w:p>
        </w:tc>
      </w:tr>
      <w:tr>
        <w:trPr>
          <w:trHeight w:val="20"/>
        </w:trPr>
        <w:tc>
          <w:tcPr>
            <w:tcW w:w="3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gridSpan w:val="3"/>
            <w:shd w:val="clear" w:color="auto" w:fill="0000FF"/>
          </w:tcPr>
          <w:p>
            <w:pPr>
              <w:spacing w:after="0" w:line="20" w:lineRule="exact"/>
              <w:rPr>
                <w:sz w:val="1"/>
                <w:szCs w:val="1"/>
                <w:color w:val="auto"/>
              </w:rPr>
            </w:pPr>
          </w:p>
        </w:tc>
        <w:tc>
          <w:tcPr>
            <w:tcW w:w="8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15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3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60" w:type="dxa"/>
            <w:vAlign w:val="bottom"/>
            <w:tcBorders>
              <w:bottom w:val="single" w:sz="8" w:color="0000FF"/>
            </w:tcBorders>
            <w:gridSpan w:val="18"/>
          </w:tcPr>
          <w:p>
            <w:pPr>
              <w:spacing w:after="0"/>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Inc., dated October 24, 2022 (incorporated by reference to Exhibit 10.8 to the Company’s Current</w:t>
              </w:r>
            </w:hyperlink>
          </w:p>
        </w:tc>
        <w:tc>
          <w:tcPr>
            <w:tcW w:w="60" w:type="dxa"/>
            <w:vAlign w:val="bottom"/>
            <w:gridSpan w:val="2"/>
          </w:tcPr>
          <w:p>
            <w:pPr>
              <w:spacing w:after="0"/>
              <w:rPr>
                <w:sz w:val="19"/>
                <w:szCs w:val="19"/>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65">
              <w:r>
                <w:rPr>
                  <w:rFonts w:ascii="Times New Roman" w:cs="Times New Roman" w:eastAsia="Times New Roman" w:hAnsi="Times New Roman"/>
                  <w:sz w:val="18"/>
                  <w:szCs w:val="18"/>
                  <w:color w:val="0000FF"/>
                  <w:w w:val="99"/>
                </w:rPr>
                <w:t>Report on Form 8-K filed with the SEC on October 28, 2022).</w:t>
              </w:r>
            </w:hyperlink>
          </w:p>
        </w:tc>
        <w:tc>
          <w:tcPr>
            <w:tcW w:w="2620" w:type="dxa"/>
            <w:vAlign w:val="bottom"/>
            <w:gridSpan w:val="12"/>
          </w:tcPr>
          <w:p>
            <w:pPr>
              <w:spacing w:after="0"/>
              <w:rPr>
                <w:sz w:val="17"/>
                <w:szCs w:val="17"/>
                <w:color w:val="auto"/>
              </w:rPr>
            </w:pPr>
          </w:p>
        </w:tc>
      </w:tr>
      <w:tr>
        <w:trPr>
          <w:trHeight w:val="304"/>
        </w:trPr>
        <w:tc>
          <w:tcPr>
            <w:tcW w:w="126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color w:val="auto"/>
                <w:w w:val="98"/>
              </w:rPr>
              <w:t>10.9#</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60" w:type="dxa"/>
            <w:vAlign w:val="bottom"/>
            <w:tcBorders>
              <w:bottom w:val="single" w:sz="8" w:color="0000FF"/>
            </w:tcBorders>
            <w:gridSpan w:val="16"/>
          </w:tcPr>
          <w:p>
            <w:pPr>
              <w:spacing w:after="0"/>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Executive Employment Agreement between Tyler S. Farquharson and Granite Ridge Resources,</w:t>
              </w:r>
            </w:hyperlink>
          </w:p>
        </w:tc>
        <w:tc>
          <w:tcPr>
            <w:tcW w:w="160" w:type="dxa"/>
            <w:vAlign w:val="bottom"/>
            <w:gridSpan w:val="4"/>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040" w:type="dxa"/>
            <w:vAlign w:val="bottom"/>
            <w:tcBorders>
              <w:bottom w:val="single" w:sz="8" w:color="0000FF"/>
            </w:tcBorders>
            <w:gridSpan w:val="17"/>
          </w:tcPr>
          <w:p>
            <w:pPr>
              <w:spacing w:after="0" w:line="196"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Inc., dated October 24, 2022 (incorporated by reference to Exhibit 10.9 to the Company’s Current</w:t>
              </w:r>
            </w:hyperlink>
          </w:p>
        </w:tc>
        <w:tc>
          <w:tcPr>
            <w:tcW w:w="80" w:type="dxa"/>
            <w:vAlign w:val="bottom"/>
            <w:gridSpan w:val="3"/>
          </w:tcPr>
          <w:p>
            <w:pPr>
              <w:spacing w:after="0"/>
              <w:rPr>
                <w:sz w:val="17"/>
                <w:szCs w:val="17"/>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00" w:type="dxa"/>
            <w:vAlign w:val="bottom"/>
            <w:tcBorders>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66">
              <w:r>
                <w:rPr>
                  <w:rFonts w:ascii="Times New Roman" w:cs="Times New Roman" w:eastAsia="Times New Roman" w:hAnsi="Times New Roman"/>
                  <w:sz w:val="18"/>
                  <w:szCs w:val="18"/>
                  <w:color w:val="0000FF"/>
                  <w:w w:val="99"/>
                </w:rPr>
                <w:t>Report on Form 8-K filed with the SEC on October 28, 2022).</w:t>
              </w:r>
            </w:hyperlink>
          </w:p>
        </w:tc>
        <w:tc>
          <w:tcPr>
            <w:tcW w:w="2620" w:type="dxa"/>
            <w:vAlign w:val="bottom"/>
            <w:gridSpan w:val="12"/>
          </w:tcPr>
          <w:p>
            <w:pPr>
              <w:spacing w:after="0"/>
              <w:rPr>
                <w:sz w:val="17"/>
                <w:szCs w:val="17"/>
                <w:color w:val="auto"/>
              </w:rPr>
            </w:pPr>
          </w:p>
        </w:tc>
      </w:tr>
      <w:tr>
        <w:trPr>
          <w:trHeight w:val="304"/>
        </w:trPr>
        <w:tc>
          <w:tcPr>
            <w:tcW w:w="126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color w:val="auto"/>
              </w:rPr>
              <w:t>21.1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20" w:type="dxa"/>
            <w:vAlign w:val="bottom"/>
            <w:gridSpan w:val="20"/>
          </w:tcPr>
          <w:p>
            <w:pPr>
              <w:spacing w:after="0"/>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Subsidiaries of the Registrant (incorporated by reference to Exhibit 21.1 to the Company’s Current</w:t>
              </w:r>
            </w:hyperlink>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500" w:type="dxa"/>
            <w:vAlign w:val="bottom"/>
            <w:tcBorders>
              <w:top w:val="single" w:sz="8" w:color="0000FF"/>
              <w:bottom w:val="single" w:sz="8" w:color="0000FF"/>
            </w:tcBorders>
            <w:gridSpan w:val="8"/>
          </w:tcPr>
          <w:p>
            <w:pPr>
              <w:spacing w:after="0" w:line="196" w:lineRule="exact"/>
              <w:rPr>
                <w:rFonts w:ascii="Times New Roman" w:cs="Times New Roman" w:eastAsia="Times New Roman" w:hAnsi="Times New Roman"/>
                <w:sz w:val="18"/>
                <w:szCs w:val="18"/>
                <w:color w:val="0000FF"/>
                <w:w w:val="99"/>
              </w:rPr>
            </w:pPr>
            <w:hyperlink r:id="rId67">
              <w:r>
                <w:rPr>
                  <w:rFonts w:ascii="Times New Roman" w:cs="Times New Roman" w:eastAsia="Times New Roman" w:hAnsi="Times New Roman"/>
                  <w:sz w:val="18"/>
                  <w:szCs w:val="18"/>
                  <w:color w:val="0000FF"/>
                  <w:w w:val="99"/>
                </w:rPr>
                <w:t>Report on Form 8-K filed with the SEC on October 28, 2022).</w:t>
              </w:r>
            </w:hyperlink>
          </w:p>
        </w:tc>
        <w:tc>
          <w:tcPr>
            <w:tcW w:w="2600" w:type="dxa"/>
            <w:vAlign w:val="bottom"/>
            <w:tcBorders>
              <w:top w:val="single" w:sz="8" w:color="0000FF"/>
            </w:tcBorders>
            <w:gridSpan w:val="11"/>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26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color w:val="auto"/>
                <w:w w:val="98"/>
              </w:rPr>
              <w:t>31.1*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920" w:type="dxa"/>
            <w:vAlign w:val="bottom"/>
            <w:tcBorders>
              <w:bottom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w w:val="99"/>
              </w:rPr>
              <w:t>Certification of the Company’s Chief Executive Officer Pursuant to Section 302 of the Sarbanes</w:t>
            </w:r>
          </w:p>
        </w:tc>
        <w:tc>
          <w:tcPr>
            <w:tcW w:w="200" w:type="dxa"/>
            <w:vAlign w:val="bottom"/>
            <w:gridSpan w:val="5"/>
          </w:tcPr>
          <w:p>
            <w:pPr>
              <w:spacing w:after="0"/>
              <w:rPr>
                <w:sz w:val="24"/>
                <w:szCs w:val="24"/>
                <w:color w:val="auto"/>
              </w:rPr>
            </w:pP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120" w:type="dxa"/>
            <w:vAlign w:val="bottom"/>
            <w:gridSpan w:val="20"/>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 (18 U.S.C. Section 7241).</w:t>
            </w:r>
          </w:p>
        </w:tc>
      </w:tr>
      <w:tr>
        <w:trPr>
          <w:trHeight w:val="20"/>
        </w:trPr>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304"/>
        </w:trPr>
        <w:tc>
          <w:tcPr>
            <w:tcW w:w="126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color w:val="auto"/>
                <w:w w:val="98"/>
              </w:rPr>
              <w:t>31.2*</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Certification of the Company’s Chief Financial Officer Pursuant to Section 302 of the Sarbanes</w:t>
            </w: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6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Oxley Act of 2002 (18 U.S.C. Section 7241).</w:t>
            </w:r>
          </w:p>
        </w:tc>
        <w:tc>
          <w:tcPr>
            <w:tcW w:w="260" w:type="dxa"/>
            <w:vAlign w:val="bottom"/>
            <w:gridSpan w:val="7"/>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80" w:type="dxa"/>
            <w:vAlign w:val="bottom"/>
            <w:gridSpan w:val="3"/>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80" w:type="dxa"/>
            <w:vAlign w:val="bottom"/>
            <w:gridSpan w:val="3"/>
          </w:tcPr>
          <w:p>
            <w:pPr>
              <w:spacing w:after="0" w:line="20" w:lineRule="exact"/>
              <w:rPr>
                <w:sz w:val="1"/>
                <w:szCs w:val="1"/>
                <w:color w:val="auto"/>
              </w:rPr>
            </w:pPr>
          </w:p>
        </w:tc>
        <w:tc>
          <w:tcPr>
            <w:tcW w:w="240" w:type="dxa"/>
            <w:vAlign w:val="bottom"/>
            <w:gridSpan w:val="6"/>
          </w:tcPr>
          <w:p>
            <w:pPr>
              <w:spacing w:after="0" w:line="20" w:lineRule="exact"/>
              <w:rPr>
                <w:sz w:val="1"/>
                <w:szCs w:val="1"/>
                <w:color w:val="auto"/>
              </w:rPr>
            </w:pPr>
          </w:p>
        </w:tc>
      </w:tr>
      <w:tr>
        <w:trPr>
          <w:trHeight w:val="304"/>
        </w:trPr>
        <w:tc>
          <w:tcPr>
            <w:tcW w:w="1260" w:type="dxa"/>
            <w:vAlign w:val="bottom"/>
            <w:gridSpan w:val="4"/>
          </w:tcPr>
          <w:p>
            <w:pPr>
              <w:jc w:val="center"/>
              <w:ind w:left="450"/>
              <w:spacing w:after="0"/>
              <w:rPr>
                <w:sz w:val="20"/>
                <w:szCs w:val="20"/>
                <w:color w:val="auto"/>
              </w:rPr>
            </w:pPr>
            <w:r>
              <w:rPr>
                <w:rFonts w:ascii="Times New Roman" w:cs="Times New Roman" w:eastAsia="Times New Roman" w:hAnsi="Times New Roman"/>
                <w:sz w:val="18"/>
                <w:szCs w:val="18"/>
                <w:color w:val="auto"/>
                <w:w w:val="98"/>
              </w:rPr>
              <w:t>32.1*</w:t>
            </w: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20" w:type="dxa"/>
            <w:vAlign w:val="bottom"/>
            <w:gridSpan w:val="20"/>
          </w:tcPr>
          <w:p>
            <w:pPr>
              <w:spacing w:after="0"/>
              <w:rPr>
                <w:sz w:val="20"/>
                <w:szCs w:val="20"/>
                <w:color w:val="auto"/>
              </w:rPr>
            </w:pPr>
            <w:r>
              <w:rPr>
                <w:rFonts w:ascii="Times New Roman" w:cs="Times New Roman" w:eastAsia="Times New Roman" w:hAnsi="Times New Roman"/>
                <w:sz w:val="18"/>
                <w:szCs w:val="18"/>
                <w:color w:val="0000EE"/>
              </w:rPr>
              <w:t>Certification of the Company’s Chief Executive Officer and Chief Financial Officer Pursuant to</w:t>
            </w:r>
          </w:p>
        </w:tc>
      </w:tr>
      <w:tr>
        <w:trPr>
          <w:trHeight w:val="196"/>
        </w:trPr>
        <w:tc>
          <w:tcPr>
            <w:tcW w:w="3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880" w:type="dxa"/>
            <w:vAlign w:val="bottom"/>
            <w:tcBorders>
              <w:top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 Oxley Act of 2002 (18 U.S.C. Section 1350).</w:t>
            </w:r>
          </w:p>
        </w:tc>
        <w:tc>
          <w:tcPr>
            <w:tcW w:w="240" w:type="dxa"/>
            <w:vAlign w:val="bottom"/>
            <w:gridSpan w:val="6"/>
          </w:tcPr>
          <w:p>
            <w:pPr>
              <w:spacing w:after="0"/>
              <w:rPr>
                <w:sz w:val="17"/>
                <w:szCs w:val="17"/>
                <w:color w:val="auto"/>
              </w:rPr>
            </w:pPr>
          </w:p>
        </w:tc>
      </w:tr>
      <w:tr>
        <w:trPr>
          <w:trHeight w:val="304"/>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8"/>
                <w:szCs w:val="18"/>
                <w:u w:val="single" w:color="auto"/>
                <w:color w:val="auto"/>
              </w:rPr>
              <w:t>INS*</w:t>
            </w:r>
          </w:p>
        </w:tc>
        <w:tc>
          <w:tcPr>
            <w:tcW w:w="180" w:type="dxa"/>
            <w:vAlign w:val="bottom"/>
            <w:gridSpan w:val="2"/>
          </w:tcPr>
          <w:p>
            <w:pPr>
              <w:spacing w:after="0"/>
              <w:rPr>
                <w:sz w:val="24"/>
                <w:szCs w:val="24"/>
                <w:color w:val="auto"/>
              </w:rPr>
            </w:pPr>
          </w:p>
        </w:tc>
        <w:tc>
          <w:tcPr>
            <w:tcW w:w="280" w:type="dxa"/>
            <w:vAlign w:val="bottom"/>
          </w:tcPr>
          <w:p>
            <w:pPr>
              <w:spacing w:after="0"/>
              <w:rPr>
                <w:sz w:val="24"/>
                <w:szCs w:val="24"/>
                <w:color w:val="auto"/>
              </w:rPr>
            </w:pPr>
          </w:p>
        </w:tc>
        <w:tc>
          <w:tcPr>
            <w:tcW w:w="2380" w:type="dxa"/>
            <w:vAlign w:val="bottom"/>
            <w:tcBorders>
              <w:top w:val="single" w:sz="8" w:color="0000EE"/>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Inline XBRL Instance Document</w:t>
            </w:r>
          </w:p>
        </w:tc>
        <w:tc>
          <w:tcPr>
            <w:tcW w:w="2920" w:type="dxa"/>
            <w:vAlign w:val="bottom"/>
            <w:tcBorders>
              <w:top w:val="single" w:sz="8" w:color="0000EE"/>
            </w:tcBorders>
            <w:gridSpan w:val="8"/>
          </w:tcPr>
          <w:p>
            <w:pPr>
              <w:spacing w:after="0"/>
              <w:rPr>
                <w:sz w:val="24"/>
                <w:szCs w:val="24"/>
                <w:color w:val="auto"/>
              </w:rPr>
            </w:pPr>
          </w:p>
        </w:tc>
        <w:tc>
          <w:tcPr>
            <w:tcW w:w="1820" w:type="dxa"/>
            <w:vAlign w:val="bottom"/>
            <w:gridSpan w:val="9"/>
          </w:tcPr>
          <w:p>
            <w:pPr>
              <w:spacing w:after="0"/>
              <w:rPr>
                <w:sz w:val="24"/>
                <w:szCs w:val="24"/>
                <w:color w:val="auto"/>
              </w:rPr>
            </w:pPr>
          </w:p>
        </w:tc>
      </w:tr>
      <w:tr>
        <w:trPr>
          <w:trHeight w:val="534"/>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7"/>
              </w:rPr>
              <w:t>101.</w:t>
            </w:r>
            <w:r>
              <w:rPr>
                <w:rFonts w:ascii="Times New Roman" w:cs="Times New Roman" w:eastAsia="Times New Roman" w:hAnsi="Times New Roman"/>
                <w:sz w:val="18"/>
                <w:szCs w:val="18"/>
                <w:u w:val="single" w:color="auto"/>
                <w:color w:val="auto"/>
                <w:w w:val="97"/>
              </w:rPr>
              <w:t>SCH*</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20"/>
        </w:trPr>
        <w:tc>
          <w:tcPr>
            <w:tcW w:w="36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760" w:type="dxa"/>
            <w:vAlign w:val="bottom"/>
            <w:tcBorders>
              <w:right w:val="single" w:sz="8" w:color="auto"/>
            </w:tcBorders>
            <w:gridSpan w:val="3"/>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920" w:type="dxa"/>
            <w:vAlign w:val="bottom"/>
            <w:gridSpan w:val="5"/>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60" w:type="dxa"/>
            <w:vAlign w:val="bottom"/>
            <w:gridSpan w:val="10"/>
          </w:tcPr>
          <w:p>
            <w:pPr>
              <w:spacing w:after="0" w:line="20" w:lineRule="exact"/>
              <w:rPr>
                <w:sz w:val="1"/>
                <w:szCs w:val="1"/>
                <w:color w:val="auto"/>
              </w:rPr>
            </w:pPr>
          </w:p>
        </w:tc>
      </w:tr>
      <w:tr>
        <w:trPr>
          <w:trHeight w:val="628"/>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6"/>
              </w:rPr>
              <w:t>101.</w:t>
            </w:r>
            <w:r>
              <w:rPr>
                <w:rFonts w:ascii="Times New Roman" w:cs="Times New Roman" w:eastAsia="Times New Roman" w:hAnsi="Times New Roman"/>
                <w:sz w:val="18"/>
                <w:szCs w:val="18"/>
                <w:u w:val="single" w:color="auto"/>
                <w:color w:val="auto"/>
                <w:w w:val="96"/>
              </w:rPr>
              <w:t>CAL*</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120" w:type="dxa"/>
            <w:vAlign w:val="bottom"/>
            <w:gridSpan w:val="20"/>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533"/>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Borders>
              <w:top w:val="single" w:sz="8" w:color="auto"/>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101.</w:t>
            </w:r>
            <w:r>
              <w:rPr>
                <w:rFonts w:ascii="Times New Roman" w:cs="Times New Roman" w:eastAsia="Times New Roman" w:hAnsi="Times New Roman"/>
                <w:sz w:val="18"/>
                <w:szCs w:val="18"/>
                <w:u w:val="single" w:color="auto"/>
                <w:color w:val="auto"/>
                <w:w w:val="99"/>
              </w:rPr>
              <w:t>DEF*</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100" w:type="dxa"/>
            <w:vAlign w:val="bottom"/>
            <w:tcBorders>
              <w:top w:val="single" w:sz="8" w:color="auto"/>
              <w:bottom w:val="single" w:sz="8" w:color="auto"/>
            </w:tcBorders>
            <w:gridSpan w:val="6"/>
          </w:tcPr>
          <w:p>
            <w:pPr>
              <w:spacing w:after="0"/>
              <w:rPr>
                <w:sz w:val="20"/>
                <w:szCs w:val="20"/>
                <w:color w:val="auto"/>
              </w:rPr>
            </w:pPr>
            <w:r>
              <w:rPr>
                <w:rFonts w:ascii="Times New Roman" w:cs="Times New Roman" w:eastAsia="Times New Roman" w:hAnsi="Times New Roman"/>
                <w:sz w:val="18"/>
                <w:szCs w:val="18"/>
                <w:color w:val="auto"/>
                <w:w w:val="99"/>
              </w:rPr>
              <w:t>Inline XBRL Taxonomy Extension Definition Document</w:t>
            </w:r>
          </w:p>
        </w:tc>
        <w:tc>
          <w:tcPr>
            <w:tcW w:w="780" w:type="dxa"/>
            <w:vAlign w:val="bottom"/>
            <w:tcBorders>
              <w:top w:val="single" w:sz="8" w:color="auto"/>
            </w:tcBorders>
            <w:gridSpan w:val="3"/>
          </w:tcPr>
          <w:p>
            <w:pPr>
              <w:spacing w:after="0"/>
              <w:rPr>
                <w:sz w:val="24"/>
                <w:szCs w:val="24"/>
                <w:color w:val="auto"/>
              </w:rPr>
            </w:pPr>
          </w:p>
        </w:tc>
        <w:tc>
          <w:tcPr>
            <w:tcW w:w="2240" w:type="dxa"/>
            <w:vAlign w:val="bottom"/>
            <w:gridSpan w:val="11"/>
          </w:tcPr>
          <w:p>
            <w:pPr>
              <w:spacing w:after="0"/>
              <w:rPr>
                <w:sz w:val="24"/>
                <w:szCs w:val="24"/>
                <w:color w:val="auto"/>
              </w:rPr>
            </w:pPr>
          </w:p>
        </w:tc>
      </w:tr>
      <w:tr>
        <w:trPr>
          <w:trHeight w:val="628"/>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6"/>
              </w:rPr>
              <w:t>101.</w:t>
            </w:r>
            <w:r>
              <w:rPr>
                <w:rFonts w:ascii="Times New Roman" w:cs="Times New Roman" w:eastAsia="Times New Roman" w:hAnsi="Times New Roman"/>
                <w:sz w:val="18"/>
                <w:szCs w:val="18"/>
                <w:u w:val="single" w:color="auto"/>
                <w:color w:val="auto"/>
                <w:w w:val="96"/>
              </w:rPr>
              <w:t>LAB*</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8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8"/>
                <w:szCs w:val="18"/>
                <w:color w:val="auto"/>
                <w:w w:val="99"/>
              </w:rPr>
              <w:t>Inline XBRL Taxonomy Extension Label Linkbase Document</w:t>
            </w:r>
          </w:p>
        </w:tc>
        <w:tc>
          <w:tcPr>
            <w:tcW w:w="2640" w:type="dxa"/>
            <w:vAlign w:val="bottom"/>
            <w:gridSpan w:val="13"/>
          </w:tcPr>
          <w:p>
            <w:pPr>
              <w:spacing w:after="0"/>
              <w:rPr>
                <w:sz w:val="24"/>
                <w:szCs w:val="24"/>
                <w:color w:val="auto"/>
              </w:rPr>
            </w:pPr>
          </w:p>
        </w:tc>
      </w:tr>
      <w:tr>
        <w:trPr>
          <w:trHeight w:val="534"/>
        </w:trPr>
        <w:tc>
          <w:tcPr>
            <w:tcW w:w="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60" w:type="dxa"/>
            <w:vAlign w:val="bottom"/>
            <w:tcBorders>
              <w:bottom w:val="single" w:sz="8" w:color="auto"/>
            </w:tcBorders>
            <w:gridSpan w:val="3"/>
          </w:tcPr>
          <w:p>
            <w:pPr>
              <w:jc w:val="center"/>
              <w:ind w:right="20"/>
              <w:spacing w:after="0"/>
              <w:rPr>
                <w:sz w:val="20"/>
                <w:szCs w:val="20"/>
                <w:color w:val="auto"/>
              </w:rPr>
            </w:pPr>
            <w:r>
              <w:rPr>
                <w:rFonts w:ascii="Times New Roman" w:cs="Times New Roman" w:eastAsia="Times New Roman" w:hAnsi="Times New Roman"/>
                <w:sz w:val="18"/>
                <w:szCs w:val="18"/>
                <w:color w:val="auto"/>
              </w:rPr>
              <w:t>101.</w:t>
            </w:r>
            <w:r>
              <w:rPr>
                <w:rFonts w:ascii="Times New Roman" w:cs="Times New Roman" w:eastAsia="Times New Roman" w:hAnsi="Times New Roman"/>
                <w:sz w:val="18"/>
                <w:szCs w:val="18"/>
                <w:u w:val="single" w:color="auto"/>
                <w:color w:val="auto"/>
              </w:rPr>
              <w:t>PRE*</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960" w:type="dxa"/>
            <w:vAlign w:val="bottom"/>
            <w:tcBorders>
              <w:bottom w:val="single" w:sz="8" w:color="auto"/>
            </w:tcBorders>
            <w:gridSpan w:val="10"/>
          </w:tcPr>
          <w:p>
            <w:pPr>
              <w:spacing w:after="0"/>
              <w:rPr>
                <w:sz w:val="20"/>
                <w:szCs w:val="20"/>
                <w:color w:val="auto"/>
              </w:rPr>
            </w:pPr>
            <w:r>
              <w:rPr>
                <w:rFonts w:ascii="Times New Roman" w:cs="Times New Roman" w:eastAsia="Times New Roman" w:hAnsi="Times New Roman"/>
                <w:sz w:val="18"/>
                <w:szCs w:val="18"/>
                <w:color w:val="auto"/>
                <w:w w:val="99"/>
              </w:rPr>
              <w:t>Inline XBRL Taxonomy Extension Presentation Linkbase Document</w:t>
            </w:r>
          </w:p>
        </w:tc>
        <w:tc>
          <w:tcPr>
            <w:tcW w:w="2160" w:type="dxa"/>
            <w:vAlign w:val="bottom"/>
            <w:gridSpan w:val="10"/>
          </w:tcPr>
          <w:p>
            <w:pPr>
              <w:spacing w:after="0"/>
              <w:rPr>
                <w:sz w:val="24"/>
                <w:szCs w:val="24"/>
                <w:color w:val="auto"/>
              </w:rPr>
            </w:pPr>
          </w:p>
        </w:tc>
      </w:tr>
    </w:tbl>
    <w:p>
      <w:pPr>
        <w:spacing w:after="0" w:line="346" w:lineRule="exact"/>
        <w:rPr>
          <w:sz w:val="20"/>
          <w:szCs w:val="20"/>
          <w:color w:val="auto"/>
        </w:rPr>
      </w:pPr>
    </w:p>
    <w:p>
      <w:pPr>
        <w:ind w:left="1780" w:hanging="949"/>
        <w:spacing w:after="0"/>
        <w:tabs>
          <w:tab w:leader="none" w:pos="178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198" w:lineRule="exact"/>
        <w:rPr>
          <w:rFonts w:ascii="Times New Roman" w:cs="Times New Roman" w:eastAsia="Times New Roman" w:hAnsi="Times New Roman"/>
          <w:sz w:val="18"/>
          <w:szCs w:val="18"/>
          <w:color w:val="auto"/>
        </w:rPr>
      </w:pPr>
    </w:p>
    <w:p>
      <w:pPr>
        <w:ind w:left="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117" w:lineRule="exact"/>
        <w:rPr>
          <w:sz w:val="20"/>
          <w:szCs w:val="20"/>
          <w:color w:val="auto"/>
        </w:rPr>
      </w:pPr>
    </w:p>
    <w:p>
      <w:pPr>
        <w:ind w:left="560" w:hanging="134"/>
        <w:spacing w:after="0"/>
        <w:tabs>
          <w:tab w:leader="none" w:pos="5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management plan or compensatory arrangement.</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13" w:lineRule="exact"/>
        <w:rPr>
          <w:rFonts w:ascii="Times New Roman" w:cs="Times New Roman" w:eastAsia="Times New Roman" w:hAnsi="Times New Roman"/>
          <w:sz w:val="18"/>
          <w:szCs w:val="18"/>
          <w:color w:val="auto"/>
        </w:rPr>
      </w:pPr>
    </w:p>
    <w:p>
      <w:pPr>
        <w:ind w:left="44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648" w:right="1440" w:bottom="1440" w:gutter="0" w:footer="0" w:header="0"/>
        </w:sectPr>
      </w:pPr>
    </w:p>
    <w:bookmarkStart w:id="42" w:name="page43"/>
    <w:bookmarkEnd w:id="42"/>
    <w:p>
      <w:pPr>
        <w:ind w:left="60"/>
        <w:spacing w:after="0"/>
        <w:rPr>
          <w:sz w:val="20"/>
          <w:szCs w:val="20"/>
          <w:color w:val="auto"/>
        </w:rPr>
      </w:pPr>
      <w:r>
        <w:rPr>
          <w:rFonts w:ascii="Times New Roman" w:cs="Times New Roman" w:eastAsia="Times New Roman" w:hAnsi="Times New Roman"/>
          <w:sz w:val="18"/>
          <w:szCs w:val="18"/>
          <w:u w:val="single" w:color="auto"/>
          <w:color w:val="0000EE"/>
        </w:rPr>
        <w:t>Table of Contents</w:t>
      </w: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60" w:right="59"/>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Quarterly Report to be signed on its behalf by the undersigned thereunto duly authorized.</w:t>
      </w:r>
    </w:p>
    <w:p>
      <w:pPr>
        <w:spacing w:after="0" w:line="185" w:lineRule="exact"/>
        <w:rPr>
          <w:sz w:val="20"/>
          <w:szCs w:val="20"/>
          <w:color w:val="auto"/>
        </w:rPr>
      </w:pPr>
    </w:p>
    <w:tbl>
      <w:tblPr>
        <w:tblLayout w:type="fixed"/>
        <w:tblInd w:w="60" w:type="dxa"/>
        <w:tblCellMar>
          <w:top w:w="0" w:type="dxa"/>
          <w:left w:w="0" w:type="dxa"/>
          <w:bottom w:w="0" w:type="dxa"/>
          <w:right w:w="0" w:type="dxa"/>
        </w:tblCellMar>
      </w:tblPr>
      <w:tr>
        <w:trPr>
          <w:trHeight w:val="238"/>
        </w:trPr>
        <w:tc>
          <w:tcPr>
            <w:tcW w:w="2980" w:type="dxa"/>
            <w:vAlign w:val="bottom"/>
          </w:tcPr>
          <w:p>
            <w:pPr>
              <w:spacing w:after="0"/>
              <w:rPr>
                <w:sz w:val="20"/>
                <w:szCs w:val="20"/>
                <w:color w:val="auto"/>
              </w:rPr>
            </w:pPr>
          </w:p>
        </w:tc>
        <w:tc>
          <w:tcPr>
            <w:tcW w:w="5900" w:type="dxa"/>
            <w:vAlign w:val="bottom"/>
            <w:gridSpan w:val="3"/>
          </w:tcPr>
          <w:p>
            <w:pPr>
              <w:ind w:left="1540"/>
              <w:spacing w:after="0"/>
              <w:rPr>
                <w:sz w:val="20"/>
                <w:szCs w:val="20"/>
                <w:color w:val="auto"/>
              </w:rPr>
            </w:pPr>
            <w:r>
              <w:rPr>
                <w:rFonts w:ascii="Times New Roman" w:cs="Times New Roman" w:eastAsia="Times New Roman" w:hAnsi="Times New Roman"/>
                <w:sz w:val="18"/>
                <w:szCs w:val="18"/>
                <w:b w:val="1"/>
                <w:bCs w:val="1"/>
                <w:color w:val="auto"/>
              </w:rPr>
              <w:t>GRANITE RIDGE RESOURCES, INC.</w:t>
            </w:r>
          </w:p>
        </w:tc>
      </w:tr>
      <w:tr>
        <w:trPr>
          <w:trHeight w:val="64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November 14, 2022</w:t>
            </w:r>
          </w:p>
        </w:tc>
        <w:tc>
          <w:tcPr>
            <w:tcW w:w="5900" w:type="dxa"/>
            <w:vAlign w:val="bottom"/>
            <w:gridSpan w:val="3"/>
          </w:tcPr>
          <w:p>
            <w:pPr>
              <w:ind w:left="1540"/>
              <w:spacing w:after="0"/>
              <w:rPr>
                <w:sz w:val="20"/>
                <w:szCs w:val="20"/>
                <w:color w:val="auto"/>
              </w:rPr>
            </w:pPr>
            <w:r>
              <w:rPr>
                <w:rFonts w:ascii="Times New Roman" w:cs="Times New Roman" w:eastAsia="Times New Roman" w:hAnsi="Times New Roman"/>
                <w:sz w:val="18"/>
                <w:szCs w:val="18"/>
                <w:color w:val="auto"/>
              </w:rPr>
              <w:t>By: /s/ LUKE C. BRANDENBERG</w:t>
            </w:r>
          </w:p>
        </w:tc>
      </w:tr>
      <w:tr>
        <w:trPr>
          <w:trHeight w:val="189"/>
        </w:trPr>
        <w:tc>
          <w:tcPr>
            <w:tcW w:w="2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40" w:type="dxa"/>
            <w:vAlign w:val="bottom"/>
            <w:tcBorders>
              <w:top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Name: Luke C. Brandenberg</w:t>
            </w:r>
          </w:p>
        </w:tc>
      </w:tr>
      <w:tr>
        <w:trPr>
          <w:trHeight w:val="236"/>
        </w:trPr>
        <w:tc>
          <w:tcPr>
            <w:tcW w:w="29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tc>
      </w:tr>
      <w:tr>
        <w:trPr>
          <w:trHeight w:val="648"/>
        </w:trPr>
        <w:tc>
          <w:tcPr>
            <w:tcW w:w="2980" w:type="dxa"/>
            <w:vAlign w:val="bottom"/>
          </w:tcPr>
          <w:p>
            <w:pPr>
              <w:spacing w:after="0"/>
              <w:rPr>
                <w:sz w:val="20"/>
                <w:szCs w:val="20"/>
                <w:color w:val="auto"/>
              </w:rPr>
            </w:pPr>
            <w:r>
              <w:rPr>
                <w:rFonts w:ascii="Times New Roman" w:cs="Times New Roman" w:eastAsia="Times New Roman" w:hAnsi="Times New Roman"/>
                <w:sz w:val="18"/>
                <w:szCs w:val="18"/>
                <w:color w:val="auto"/>
              </w:rPr>
              <w:t>November 14, 2022</w:t>
            </w:r>
          </w:p>
        </w:tc>
        <w:tc>
          <w:tcPr>
            <w:tcW w:w="5900" w:type="dxa"/>
            <w:vAlign w:val="bottom"/>
            <w:gridSpan w:val="3"/>
          </w:tcPr>
          <w:p>
            <w:pPr>
              <w:ind w:left="1540"/>
              <w:spacing w:after="0"/>
              <w:rPr>
                <w:sz w:val="20"/>
                <w:szCs w:val="20"/>
                <w:color w:val="auto"/>
              </w:rPr>
            </w:pPr>
            <w:r>
              <w:rPr>
                <w:rFonts w:ascii="Times New Roman" w:cs="Times New Roman" w:eastAsia="Times New Roman" w:hAnsi="Times New Roman"/>
                <w:sz w:val="18"/>
                <w:szCs w:val="18"/>
                <w:color w:val="auto"/>
              </w:rPr>
              <w:t>By: /s/ TYLER S. FARQUHARSON</w:t>
            </w:r>
          </w:p>
        </w:tc>
      </w:tr>
      <w:tr>
        <w:trPr>
          <w:trHeight w:val="189"/>
        </w:trPr>
        <w:tc>
          <w:tcPr>
            <w:tcW w:w="298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4040" w:type="dxa"/>
            <w:vAlign w:val="bottom"/>
            <w:tcBorders>
              <w:top w:val="single" w:sz="8" w:color="auto"/>
            </w:tcBorders>
            <w:gridSpan w:val="2"/>
          </w:tcPr>
          <w:p>
            <w:pPr>
              <w:ind w:left="20"/>
              <w:spacing w:after="0" w:line="189" w:lineRule="exact"/>
              <w:rPr>
                <w:sz w:val="20"/>
                <w:szCs w:val="20"/>
                <w:color w:val="auto"/>
              </w:rPr>
            </w:pPr>
            <w:r>
              <w:rPr>
                <w:rFonts w:ascii="Times New Roman" w:cs="Times New Roman" w:eastAsia="Times New Roman" w:hAnsi="Times New Roman"/>
                <w:sz w:val="18"/>
                <w:szCs w:val="18"/>
                <w:color w:val="auto"/>
              </w:rPr>
              <w:t>Name: Tyler S. Farquharson</w:t>
            </w:r>
          </w:p>
        </w:tc>
      </w:tr>
      <w:tr>
        <w:trPr>
          <w:trHeight w:val="236"/>
        </w:trPr>
        <w:tc>
          <w:tcPr>
            <w:tcW w:w="2980" w:type="dxa"/>
            <w:vAlign w:val="bottom"/>
          </w:tcPr>
          <w:p>
            <w:pPr>
              <w:spacing w:after="0"/>
              <w:rPr>
                <w:sz w:val="20"/>
                <w:szCs w:val="20"/>
                <w:color w:val="auto"/>
              </w:rPr>
            </w:pPr>
          </w:p>
        </w:tc>
        <w:tc>
          <w:tcPr>
            <w:tcW w:w="1860" w:type="dxa"/>
            <w:vAlign w:val="bottom"/>
          </w:tcPr>
          <w:p>
            <w:pPr>
              <w:spacing w:after="0"/>
              <w:rPr>
                <w:sz w:val="20"/>
                <w:szCs w:val="20"/>
                <w:color w:val="auto"/>
              </w:rPr>
            </w:pPr>
          </w:p>
        </w:tc>
        <w:tc>
          <w:tcPr>
            <w:tcW w:w="5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354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360045</wp:posOffset>
            </wp:positionV>
            <wp:extent cx="5657850" cy="254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661" w:right="1440" w:bottom="1440" w:gutter="0" w:footer="0" w:header="0"/>
        </w:sectPr>
      </w:pPr>
    </w:p>
    <w:bookmarkStart w:id="43" w:name="page44"/>
    <w:bookmarkEnd w:id="4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Luke C. Brandenberg, certify that:</w:t>
      </w:r>
    </w:p>
    <w:p>
      <w:pPr>
        <w:spacing w:after="0" w:line="266" w:lineRule="exact"/>
        <w:rPr>
          <w:sz w:val="20"/>
          <w:szCs w:val="20"/>
          <w:color w:val="auto"/>
        </w:rPr>
      </w:pPr>
    </w:p>
    <w:p>
      <w:pPr>
        <w:ind w:left="660" w:hanging="652"/>
        <w:spacing w:after="0"/>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Granite Ridge Resources,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1"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93" w:lineRule="exact"/>
        <w:rPr>
          <w:rFonts w:ascii="Times New Roman" w:cs="Times New Roman" w:eastAsia="Times New Roman" w:hAnsi="Times New Roman"/>
          <w:sz w:val="18"/>
          <w:szCs w:val="18"/>
          <w:color w:val="auto"/>
        </w:rPr>
      </w:pPr>
    </w:p>
    <w:p>
      <w:pPr>
        <w:ind w:left="1300" w:hanging="644"/>
        <w:spacing w:after="0"/>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52"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3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1300" w:hanging="644"/>
        <w:spacing w:after="0" w:line="266" w:lineRule="auto"/>
        <w:tabs>
          <w:tab w:leader="none" w:pos="1247"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300" w:hanging="644"/>
        <w:spacing w:after="0" w:line="282" w:lineRule="auto"/>
        <w:tabs>
          <w:tab w:leader="none" w:pos="1258"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60"/>
        <w:spacing w:after="0"/>
        <w:tabs>
          <w:tab w:leader="none" w:pos="4840" w:val="left"/>
        </w:tabs>
        <w:rPr>
          <w:sz w:val="20"/>
          <w:szCs w:val="20"/>
          <w:color w:val="auto"/>
        </w:rPr>
      </w:pPr>
      <w:r>
        <w:rPr>
          <w:rFonts w:ascii="Times New Roman" w:cs="Times New Roman" w:eastAsia="Times New Roman" w:hAnsi="Times New Roman"/>
          <w:sz w:val="18"/>
          <w:szCs w:val="18"/>
          <w:color w:val="auto"/>
        </w:rPr>
        <w:t>Dated: November 14, 2022</w:t>
      </w:r>
      <w:r>
        <w:rPr>
          <w:sz w:val="20"/>
          <w:szCs w:val="20"/>
          <w:color w:val="auto"/>
        </w:rPr>
        <w:tab/>
      </w:r>
      <w:r>
        <w:rPr>
          <w:rFonts w:ascii="Times New Roman" w:cs="Times New Roman" w:eastAsia="Times New Roman" w:hAnsi="Times New Roman"/>
          <w:sz w:val="19"/>
          <w:szCs w:val="19"/>
          <w:color w:val="auto"/>
        </w:rPr>
        <w:t>By: /s/ LUKE C. BRANDENBERG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3091815</wp:posOffset>
            </wp:positionH>
            <wp:positionV relativeFrom="paragraph">
              <wp:posOffset>21590</wp:posOffset>
            </wp:positionV>
            <wp:extent cx="32061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0">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color w:val="auto"/>
        </w:rPr>
        <w:t>Luke C. Brandenberg</w:t>
      </w:r>
    </w:p>
    <w:p>
      <w:pPr>
        <w:spacing w:after="0" w:line="17" w:lineRule="exact"/>
        <w:rPr>
          <w:sz w:val="20"/>
          <w:szCs w:val="20"/>
          <w:color w:val="auto"/>
        </w:rPr>
      </w:pPr>
    </w:p>
    <w:p>
      <w:pPr>
        <w:ind w:left="5420"/>
        <w:spacing w:after="0"/>
        <w:rPr>
          <w:sz w:val="20"/>
          <w:szCs w:val="20"/>
          <w:color w:val="auto"/>
        </w:rPr>
      </w:pPr>
      <w:r>
        <w:rPr>
          <w:rFonts w:ascii="Times New Roman" w:cs="Times New Roman" w:eastAsia="Times New Roman" w:hAnsi="Times New Roman"/>
          <w:sz w:val="18"/>
          <w:szCs w:val="18"/>
          <w:i w:val="1"/>
          <w:iCs w:val="1"/>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1">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4" w:name="page45"/>
    <w:bookmarkEnd w:id="4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Tyler S. Farquharson, certify that:</w:t>
      </w:r>
    </w:p>
    <w:p>
      <w:pPr>
        <w:spacing w:after="0" w:line="266" w:lineRule="exact"/>
        <w:rPr>
          <w:sz w:val="20"/>
          <w:szCs w:val="20"/>
          <w:color w:val="auto"/>
        </w:rPr>
      </w:pPr>
    </w:p>
    <w:p>
      <w:pPr>
        <w:ind w:left="660" w:hanging="652"/>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Granite Ridge Resources, Inc.;</w:t>
      </w:r>
    </w:p>
    <w:p>
      <w:pPr>
        <w:spacing w:after="0" w:line="22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5"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and</w:t>
      </w:r>
    </w:p>
    <w:p>
      <w:pPr>
        <w:spacing w:after="0" w:line="175" w:lineRule="exact"/>
        <w:rPr>
          <w:rFonts w:ascii="Times New Roman" w:cs="Times New Roman" w:eastAsia="Times New Roman" w:hAnsi="Times New Roman"/>
          <w:sz w:val="18"/>
          <w:szCs w:val="18"/>
          <w:color w:val="auto"/>
        </w:rPr>
      </w:pPr>
    </w:p>
    <w:p>
      <w:pPr>
        <w:ind w:left="980" w:hanging="324"/>
        <w:spacing w:after="0"/>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(Paragraph omitted pursuant to SEC Release Nos. 33-8238/34-47986 and 33-8392/34-49313);</w:t>
      </w:r>
    </w:p>
    <w:p>
      <w:pPr>
        <w:spacing w:after="0" w:line="22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89"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registrant's board of directors (or persons performing the equivalent functions):</w:t>
      </w:r>
    </w:p>
    <w:p>
      <w:pPr>
        <w:spacing w:after="0" w:line="175"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57" w:lineRule="exact"/>
        <w:rPr>
          <w:sz w:val="20"/>
          <w:szCs w:val="20"/>
          <w:color w:val="auto"/>
        </w:rPr>
      </w:pPr>
    </w:p>
    <w:p>
      <w:pPr>
        <w:ind w:left="660"/>
        <w:spacing w:after="0"/>
        <w:tabs>
          <w:tab w:leader="none" w:pos="4760" w:val="left"/>
        </w:tabs>
        <w:rPr>
          <w:sz w:val="20"/>
          <w:szCs w:val="20"/>
          <w:color w:val="auto"/>
        </w:rPr>
      </w:pPr>
      <w:r>
        <w:rPr>
          <w:rFonts w:ascii="Times New Roman" w:cs="Times New Roman" w:eastAsia="Times New Roman" w:hAnsi="Times New Roman"/>
          <w:sz w:val="18"/>
          <w:szCs w:val="18"/>
          <w:color w:val="auto"/>
        </w:rPr>
        <w:t>Dated: November 14, 2022</w:t>
      </w:r>
      <w:r>
        <w:rPr>
          <w:sz w:val="20"/>
          <w:szCs w:val="20"/>
          <w:color w:val="auto"/>
        </w:rPr>
        <w:tab/>
      </w:r>
      <w:r>
        <w:rPr>
          <w:rFonts w:ascii="Times New Roman" w:cs="Times New Roman" w:eastAsia="Times New Roman" w:hAnsi="Times New Roman"/>
          <w:sz w:val="19"/>
          <w:szCs w:val="19"/>
          <w:color w:val="auto"/>
        </w:rPr>
        <w:t>By: /s/ TYLER S. FARQUHARSON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21590</wp:posOffset>
            </wp:positionV>
            <wp:extent cx="326580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2">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0"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Tyler S. Farquharson</w:t>
      </w:r>
    </w:p>
    <w:p>
      <w:pPr>
        <w:spacing w:after="0" w:line="17"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485775</wp:posOffset>
            </wp:positionV>
            <wp:extent cx="6292215"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3">
                      <a:extLst>
                        <a:ext uri="{28A0092B-C50C-407E-A947-70E740481C1C}"/>
                      </a:extLst>
                    </a:blip>
                    <a:srcRect/>
                    <a:stretch>
                      <a:fillRect/>
                    </a:stretch>
                  </pic:blipFill>
                  <pic:spPr bwMode="auto">
                    <a:xfrm>
                      <a:off x="0" y="0"/>
                      <a:ext cx="6292215" cy="17145"/>
                    </a:xfrm>
                    <a:prstGeom prst="rect">
                      <a:avLst/>
                    </a:prstGeom>
                    <a:noFill/>
                  </pic:spPr>
                </pic:pic>
              </a:graphicData>
            </a:graphic>
          </wp:anchor>
        </w:drawing>
      </w:r>
    </w:p>
    <w:p>
      <w:pPr>
        <w:sectPr>
          <w:pgSz w:w="11900" w:h="16838" w:orient="portrait"/>
          <w:cols w:equalWidth="0" w:num="1">
            <w:col w:w="9920"/>
          </w:cols>
          <w:pgMar w:left="980" w:top="117" w:right="999" w:bottom="1440" w:gutter="0" w:footer="0" w:header="0"/>
        </w:sectPr>
      </w:pPr>
    </w:p>
    <w:bookmarkStart w:id="45" w:name="page46"/>
    <w:bookmarkEnd w:id="45"/>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301"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of Granite Ridge Resources, Inc., (the “Company”) on Form 10-Q for the quarterly period ended September 30, 2022, as filed with the United States Securities and Exchange Commission on the date hereof, (the “Report”), the undersigned officers of the Company hereby certify, pursuant to 18 U.S.C. Section 1350, as adopted pursuant to Section 906 of the Sarbanes-Oxley Act of 2002, that to the best of his knowledge:</w:t>
      </w:r>
    </w:p>
    <w:p>
      <w:pPr>
        <w:spacing w:after="0" w:line="180" w:lineRule="exact"/>
        <w:rPr>
          <w:sz w:val="20"/>
          <w:szCs w:val="20"/>
          <w:color w:val="auto"/>
        </w:rPr>
      </w:pPr>
    </w:p>
    <w:p>
      <w:pPr>
        <w:ind w:left="980" w:hanging="324"/>
        <w:spacing w:after="0"/>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980" w:hanging="324"/>
        <w:spacing w:after="0" w:line="282" w:lineRule="auto"/>
        <w:tabs>
          <w:tab w:leader="none" w:pos="9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Dated: November 14, 2022</w:t>
            </w:r>
          </w:p>
        </w:tc>
        <w:tc>
          <w:tcPr>
            <w:tcW w:w="63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By: /s/ LUKE C. BRANDENBERG</w:t>
            </w:r>
          </w:p>
        </w:tc>
      </w:tr>
      <w:tr>
        <w:trPr>
          <w:trHeight w:val="189"/>
        </w:trPr>
        <w:tc>
          <w:tcPr>
            <w:tcW w:w="3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5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Name:Luke C. Brandenberg</w:t>
            </w:r>
          </w:p>
        </w:tc>
        <w:tc>
          <w:tcPr>
            <w:tcW w:w="560" w:type="dxa"/>
            <w:vAlign w:val="bottom"/>
          </w:tcPr>
          <w:p>
            <w:pPr>
              <w:spacing w:after="0"/>
              <w:rPr>
                <w:sz w:val="16"/>
                <w:szCs w:val="16"/>
                <w:color w:val="auto"/>
              </w:rPr>
            </w:pPr>
          </w:p>
        </w:tc>
      </w:tr>
      <w:tr>
        <w:trPr>
          <w:trHeight w:val="236"/>
        </w:trPr>
        <w:tc>
          <w:tcPr>
            <w:tcW w:w="3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President and Chief Executive Officer</w:t>
            </w:r>
          </w:p>
        </w:tc>
      </w:tr>
      <w:tr>
        <w:trPr>
          <w:trHeight w:val="432"/>
        </w:trPr>
        <w:tc>
          <w:tcPr>
            <w:tcW w:w="356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Dated: November 14, 2022</w:t>
            </w:r>
          </w:p>
        </w:tc>
        <w:tc>
          <w:tcPr>
            <w:tcW w:w="6360" w:type="dxa"/>
            <w:vAlign w:val="bottom"/>
            <w:gridSpan w:val="3"/>
          </w:tcPr>
          <w:p>
            <w:pPr>
              <w:ind w:left="940"/>
              <w:spacing w:after="0"/>
              <w:rPr>
                <w:sz w:val="20"/>
                <w:szCs w:val="20"/>
                <w:color w:val="auto"/>
              </w:rPr>
            </w:pPr>
            <w:r>
              <w:rPr>
                <w:rFonts w:ascii="Times New Roman" w:cs="Times New Roman" w:eastAsia="Times New Roman" w:hAnsi="Times New Roman"/>
                <w:sz w:val="18"/>
                <w:szCs w:val="18"/>
                <w:color w:val="auto"/>
              </w:rPr>
              <w:t>By: /s/ TYLER S. FARQUHARSON</w:t>
            </w:r>
          </w:p>
        </w:tc>
      </w:tr>
      <w:tr>
        <w:trPr>
          <w:trHeight w:val="189"/>
        </w:trPr>
        <w:tc>
          <w:tcPr>
            <w:tcW w:w="356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45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color w:val="auto"/>
              </w:rPr>
              <w:t>Name:Tyler S. Farquharson</w:t>
            </w:r>
          </w:p>
        </w:tc>
        <w:tc>
          <w:tcPr>
            <w:tcW w:w="560" w:type="dxa"/>
            <w:vAlign w:val="bottom"/>
          </w:tcPr>
          <w:p>
            <w:pPr>
              <w:spacing w:after="0"/>
              <w:rPr>
                <w:sz w:val="16"/>
                <w:szCs w:val="16"/>
                <w:color w:val="auto"/>
              </w:rPr>
            </w:pPr>
          </w:p>
        </w:tc>
      </w:tr>
      <w:tr>
        <w:trPr>
          <w:trHeight w:val="236"/>
        </w:trPr>
        <w:tc>
          <w:tcPr>
            <w:tcW w:w="35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5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ml:space="preserve">Title: </w:t>
            </w:r>
            <w:r>
              <w:rPr>
                <w:rFonts w:ascii="Times New Roman" w:cs="Times New Roman" w:eastAsia="Times New Roman" w:hAnsi="Times New Roman"/>
                <w:sz w:val="18"/>
                <w:szCs w:val="18"/>
                <w:i w:val="1"/>
                <w:iCs w:val="1"/>
                <w:color w:val="auto"/>
              </w:rPr>
              <w:t>Chief Financial Officer</w:t>
            </w:r>
          </w:p>
        </w:tc>
      </w:tr>
      <w:tr>
        <w:trPr>
          <w:trHeight w:val="763"/>
        </w:trPr>
        <w:tc>
          <w:tcPr>
            <w:tcW w:w="35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9920"/>
      </w:cols>
      <w:pgMar w:left="980" w:top="117" w:right="9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81"/>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2"/>
    </w:lvl>
  </w:abstractNum>
  <w:abstractNum w:abstractNumId="4">
    <w:nsid w:val="1BEFD79F"/>
    <w:multiLevelType w:val="hybridMultilevel"/>
    <w:lvl w:ilvl="0">
      <w:lvlJc w:val="left"/>
      <w:lvlText w:val="%1."/>
      <w:numFmt w:val="decimal"/>
      <w:start w:val="3"/>
    </w:lvl>
  </w:abstractNum>
  <w:abstractNum w:abstractNumId="5">
    <w:nsid w:val="41A7C4C9"/>
    <w:multiLevelType w:val="hybridMultilevel"/>
    <w:lvl w:ilvl="0">
      <w:lvlJc w:val="left"/>
      <w:lvlText w:val="%1."/>
      <w:numFmt w:val="decimal"/>
      <w:start w:val="4"/>
    </w:lvl>
  </w:abstractNum>
  <w:abstractNum w:abstractNumId="6">
    <w:nsid w:val="6B68079A"/>
    <w:multiLevelType w:val="hybridMultilevel"/>
    <w:lvl w:ilvl="0">
      <w:lvlJc w:val="left"/>
      <w:lvlText w:val="%1."/>
      <w:numFmt w:val="decimal"/>
      <w:start w:val="5"/>
    </w:lvl>
  </w:abstractNum>
  <w:abstractNum w:abstractNumId="7">
    <w:nsid w:val="4E6AFB66"/>
    <w:multiLevelType w:val="hybridMultilevel"/>
    <w:lvl w:ilvl="0">
      <w:lvlJc w:val="left"/>
      <w:lvlText w:val="%1."/>
      <w:numFmt w:val="decimal"/>
      <w:start w:val="6"/>
    </w:lvl>
  </w:abstractNum>
  <w:abstractNum w:abstractNumId="8">
    <w:nsid w:val="25E45D32"/>
    <w:multiLevelType w:val="hybridMultilevel"/>
    <w:lvl w:ilvl="0">
      <w:lvlJc w:val="left"/>
      <w:lvlText w:val="(%1)"/>
      <w:numFmt w:val="lowerLetter"/>
      <w:start w:val="1"/>
    </w:lvl>
    <w:lvl w:ilvl="1">
      <w:lvlJc w:val="left"/>
      <w:lvlText w:val="(%2)"/>
      <w:numFmt w:val="lowerLetter"/>
      <w:start w:val="2"/>
    </w:lvl>
  </w:abstractNum>
  <w:abstractNum w:abstractNumId="9">
    <w:nsid w:val="519B500D"/>
    <w:multiLevelType w:val="hybridMultilevel"/>
    <w:lvl w:ilvl="0">
      <w:lvlJc w:val="left"/>
      <w:lvlText w:val="(%1)"/>
      <w:numFmt w:val="lowerLetter"/>
      <w:start w:val="3"/>
    </w:lvl>
  </w:abstractNum>
  <w:abstractNum w:abstractNumId="10">
    <w:nsid w:val="431BD7B7"/>
    <w:multiLevelType w:val="hybridMultilevel"/>
    <w:lvl w:ilvl="0">
      <w:lvlJc w:val="left"/>
      <w:lvlText w:val="%1."/>
      <w:numFmt w:val="decimal"/>
      <w:start w:val="7"/>
    </w:lvl>
  </w:abstractNum>
  <w:abstractNum w:abstractNumId="11">
    <w:nsid w:val="3F2DBA31"/>
    <w:multiLevelType w:val="hybridMultilevel"/>
    <w:lvl w:ilvl="0">
      <w:lvlJc w:val="left"/>
      <w:lvlText w:val="%1."/>
      <w:numFmt w:val="decimal"/>
      <w:start w:val="8"/>
    </w:lvl>
  </w:abstractNum>
  <w:abstractNum w:abstractNumId="12">
    <w:nsid w:val="7C83E458"/>
    <w:multiLevelType w:val="hybridMultilevel"/>
    <w:lvl w:ilvl="0">
      <w:lvlJc w:val="left"/>
      <w:lvlText w:val="%1."/>
      <w:numFmt w:val="decimal"/>
      <w:start w:val="9"/>
    </w:lvl>
  </w:abstractNum>
  <w:abstractNum w:abstractNumId="13">
    <w:nsid w:val="257130A3"/>
    <w:multiLevelType w:val="hybridMultilevel"/>
    <w:lvl w:ilvl="0">
      <w:lvlJc w:val="left"/>
      <w:lvlText w:val="%1."/>
      <w:numFmt w:val="decimal"/>
      <w:start w:val="10"/>
    </w:lvl>
  </w:abstractNum>
  <w:abstractNum w:abstractNumId="14">
    <w:nsid w:val="62BBD95A"/>
    <w:multiLevelType w:val="hybridMultilevel"/>
    <w:lvl w:ilvl="0">
      <w:lvlJc w:val="left"/>
      <w:lvlText w:val="%1."/>
      <w:numFmt w:val="decimal"/>
      <w:start w:val="11"/>
    </w:lvl>
  </w:abstractNum>
  <w:abstractNum w:abstractNumId="15">
    <w:nsid w:val="436C6125"/>
    <w:multiLevelType w:val="hybridMultilevel"/>
    <w:lvl w:ilvl="0">
      <w:lvlJc w:val="left"/>
      <w:lvlText w:val="●"/>
      <w:numFmt w:val="bullet"/>
      <w:start w:val="1"/>
    </w:lvl>
  </w:abstractNum>
  <w:abstractNum w:abstractNumId="16">
    <w:nsid w:val="628C895D"/>
    <w:multiLevelType w:val="hybridMultilevel"/>
    <w:lvl w:ilvl="0">
      <w:lvlJc w:val="left"/>
      <w:lvlText w:val="●"/>
      <w:numFmt w:val="bullet"/>
      <w:start w:val="1"/>
    </w:lvl>
  </w:abstractNum>
  <w:abstractNum w:abstractNumId="17">
    <w:nsid w:val="333AB105"/>
    <w:multiLevelType w:val="hybridMultilevel"/>
    <w:lvl w:ilvl="0">
      <w:lvlJc w:val="left"/>
      <w:lvlText w:val="●"/>
      <w:numFmt w:val="bullet"/>
      <w:start w:val="1"/>
    </w:lvl>
  </w:abstractNum>
  <w:abstractNum w:abstractNumId="18">
    <w:nsid w:val="721DA317"/>
    <w:multiLevelType w:val="hybridMultilevel"/>
    <w:lvl w:ilvl="0">
      <w:lvlJc w:val="left"/>
      <w:lvlText w:val="(%1)"/>
      <w:numFmt w:val="decimal"/>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
      <w:numFmt w:val="bullet"/>
      <w:start w:val="1"/>
    </w:lvl>
    <w:lvl w:ilvl="1">
      <w:lvlJc w:val="left"/>
      <w:lvlText w:val="%2"/>
      <w:numFmt w:val="decimal"/>
      <w:start w:val="104"/>
    </w:lvl>
  </w:abstractNum>
  <w:abstractNum w:abstractNumId="21">
    <w:nsid w:val="6763845E"/>
    <w:multiLevelType w:val="hybridMultilevel"/>
    <w:lvl w:ilvl="0">
      <w:lvlJc w:val="left"/>
      <w:lvlText w:val="#"/>
      <w:numFmt w:val="bullet"/>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lvl w:ilvl="1">
      <w:lvlJc w:val="left"/>
      <w:lvlText w:val="%2)"/>
      <w:numFmt w:val="lowerLetter"/>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68" Type="http://schemas.openxmlformats.org/officeDocument/2006/relationships/image" Target="media/image43.png"/><Relationship Id="rId69" Type="http://schemas.openxmlformats.org/officeDocument/2006/relationships/image" Target="media/image44.png"/><Relationship Id="rId70" Type="http://schemas.openxmlformats.org/officeDocument/2006/relationships/image" Target="media/image45.png"/><Relationship Id="rId71" Type="http://schemas.openxmlformats.org/officeDocument/2006/relationships/image" Target="media/image46.png"/><Relationship Id="rId72" Type="http://schemas.openxmlformats.org/officeDocument/2006/relationships/image" Target="media/image47.png"/><Relationship Id="rId73" Type="http://schemas.openxmlformats.org/officeDocument/2006/relationships/image" Target="media/image48.png"/><Relationship Id="rId50" Type="http://schemas.openxmlformats.org/officeDocument/2006/relationships/hyperlink" Target="https://www.sec.gov/Archives/edgar/data/1928446/000119312522151859/d336730ds4.htm" TargetMode="External"/><Relationship Id="rId51" Type="http://schemas.openxmlformats.org/officeDocument/2006/relationships/hyperlink" Target="https://www.sec.gov/Archives/edgar/data/1928446/000110465922112452/tm2228430d2_ex3-1.htm" TargetMode="External"/><Relationship Id="rId52" Type="http://schemas.openxmlformats.org/officeDocument/2006/relationships/hyperlink" Target="https://www.sec.gov/Archives/edgar/data/1928446/000110465922112452/tm2228430d2_ex3-2.htm" TargetMode="External"/><Relationship Id="rId53" Type="http://schemas.openxmlformats.org/officeDocument/2006/relationships/hyperlink" Target="https://www.sec.gov/Archives/edgar/data/1928446/000119312522242166/d336730dex41.htm" TargetMode="External"/><Relationship Id="rId54" Type="http://schemas.openxmlformats.org/officeDocument/2006/relationships/hyperlink" Target="https://www.sec.gov/Archives/edgar/data/1816261/000119312520227969/d36738dex43.htm" TargetMode="External"/><Relationship Id="rId55" Type="http://schemas.openxmlformats.org/officeDocument/2006/relationships/hyperlink" Target="http://www.sec.gov/Archives/edgar/data/1816261/000119312520250191/d93002dex41.htm" TargetMode="External"/><Relationship Id="rId56" Type="http://schemas.openxmlformats.org/officeDocument/2006/relationships/hyperlink" Target="http://www.sec.gov/Archives/edgar/data/1816261/000119312521094400/d124500dex101.htm" TargetMode="External"/><Relationship Id="rId57" Type="http://schemas.openxmlformats.org/officeDocument/2006/relationships/hyperlink" Target="https://www.sec.gov/Archives/edgar/data/1928446/000110465922112452/tm2228430d2_ex4-5.htm" TargetMode="External"/><Relationship Id="rId58" Type="http://schemas.openxmlformats.org/officeDocument/2006/relationships/hyperlink" Target="https://www.sec.gov/Archives/edgar/data/1928446/000110465922112452/tm2228430d2_ex10-1.htm" TargetMode="External"/><Relationship Id="rId59" Type="http://schemas.openxmlformats.org/officeDocument/2006/relationships/hyperlink" Target="https://www.sec.gov/Archives/edgar/data/1928446/000110465922112452/tm2228430d2_ex10-2.htm" TargetMode="External"/><Relationship Id="rId60" Type="http://schemas.openxmlformats.org/officeDocument/2006/relationships/hyperlink" Target="https://www.sec.gov/Archives/edgar/data/1928446/000110465922112452/tm2228430d2_ex10-3.htm" TargetMode="External"/><Relationship Id="rId61" Type="http://schemas.openxmlformats.org/officeDocument/2006/relationships/hyperlink" Target="https://www.sec.gov/Archives/edgar/data/1928446/000110465922112452/tm2228430d2_ex10-4.htm" TargetMode="External"/><Relationship Id="rId62" Type="http://schemas.openxmlformats.org/officeDocument/2006/relationships/hyperlink" Target="https://www.sec.gov/Archives/edgar/data/1928446/000119312522189730/d336730ds4a.htm" TargetMode="External"/><Relationship Id="rId63" Type="http://schemas.openxmlformats.org/officeDocument/2006/relationships/hyperlink" Target="https://www.sec.gov/Archives/edgar/data/1928446/000110465922112452/tm2228430d2_ex10-6.htm" TargetMode="External"/><Relationship Id="rId64" Type="http://schemas.openxmlformats.org/officeDocument/2006/relationships/hyperlink" Target="https://www.sec.gov/Archives/edgar/data/1928446/000110465922112452/tm2228430d2_ex10-7.htm" TargetMode="External"/><Relationship Id="rId65" Type="http://schemas.openxmlformats.org/officeDocument/2006/relationships/hyperlink" Target="https://www.sec.gov/Archives/edgar/data/1928446/000110465922112452/tm2228430d2_ex10-8.htm" TargetMode="External"/><Relationship Id="rId66" Type="http://schemas.openxmlformats.org/officeDocument/2006/relationships/hyperlink" Target="https://www.sec.gov/Archives/edgar/data/1928446/000110465922112452/tm2228430d2_ex10-9.htm" TargetMode="External"/><Relationship Id="rId67" Type="http://schemas.openxmlformats.org/officeDocument/2006/relationships/hyperlink" Target="https://www.sec.gov/Archives/edgar/data/1928446/000110465922112452/tm2228430d2_ex21-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2022-11-14T07:35:49Z</dcterms:created>
  <dcterms:modified xsi:type="dcterms:W3CDTF">2022-11-14T07:35:49Z</dcterms:modified>
</cp:coreProperties>
</file>